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8E54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15</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506428</w:t>
      </w:r>
      <w:bookmarkStart w:id="10" w:name="_GoBack"/>
      <w:bookmarkEnd w:id="10"/>
    </w:p>
    <w:p w14:paraId="1797791D">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p w14:paraId="4A2559A8">
      <w:pPr>
        <w:pStyle w:val="16"/>
        <w:tabs>
          <w:tab w:val="right" w:pos="9781"/>
          <w:tab w:val="right" w:pos="13323"/>
          <w:tab w:val="clear" w:pos="4153"/>
          <w:tab w:val="clear" w:pos="8306"/>
        </w:tabs>
        <w:spacing w:before="60" w:after="60"/>
        <w:outlineLvl w:val="9"/>
        <w:rPr>
          <w:b/>
          <w:sz w:val="22"/>
        </w:rPr>
      </w:pPr>
    </w:p>
    <w:p w14:paraId="6B6B6038">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7.28.5.2</w:t>
      </w:r>
    </w:p>
    <w:p w14:paraId="426E4814">
      <w:pPr>
        <w:tabs>
          <w:tab w:val="left" w:pos="1765"/>
        </w:tabs>
        <w:rPr>
          <w:sz w:val="22"/>
        </w:rPr>
      </w:pPr>
      <w:r>
        <w:rPr>
          <w:b/>
          <w:sz w:val="22"/>
        </w:rPr>
        <w:t xml:space="preserve">Source: </w:t>
      </w:r>
      <w:r>
        <w:rPr>
          <w:b/>
          <w:sz w:val="22"/>
        </w:rPr>
        <w:tab/>
      </w:r>
      <w:bookmarkStart w:id="1" w:name="_Hlk41145958"/>
      <w:r>
        <w:rPr>
          <w:sz w:val="22"/>
        </w:rPr>
        <w:t>CMCC</w:t>
      </w:r>
      <w:bookmarkEnd w:id="1"/>
    </w:p>
    <w:p w14:paraId="77E3921F">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 on RRM impact of LP-WUR</w:t>
      </w:r>
    </w:p>
    <w:bookmarkEnd w:id="3"/>
    <w:bookmarkEnd w:id="4"/>
    <w:p w14:paraId="04C9D68F">
      <w:pPr>
        <w:tabs>
          <w:tab w:val="left" w:pos="1765"/>
        </w:tabs>
        <w:rPr>
          <w:sz w:val="22"/>
        </w:rPr>
      </w:pPr>
      <w:r>
        <w:rPr>
          <w:b/>
          <w:sz w:val="22"/>
        </w:rPr>
        <w:t>Document for:</w:t>
      </w:r>
      <w:r>
        <w:rPr>
          <w:b/>
          <w:sz w:val="22"/>
        </w:rPr>
        <w:tab/>
      </w:r>
      <w:r>
        <w:rPr>
          <w:sz w:val="22"/>
        </w:rPr>
        <w:t>Discussion</w:t>
      </w:r>
    </w:p>
    <w:p w14:paraId="59EE102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b w:val="0"/>
          <w:bCs w:val="0"/>
          <w:kern w:val="0"/>
          <w:sz w:val="36"/>
          <w:szCs w:val="36"/>
          <w:lang w:val="en-US" w:eastAsia="zh-CN"/>
        </w:rPr>
        <w:t xml:space="preserve">     </w:t>
      </w:r>
    </w:p>
    <w:p w14:paraId="67BBBE87">
      <w:pPr>
        <w:spacing w:before="60"/>
        <w:jc w:val="both"/>
        <w:rPr>
          <w:rFonts w:hint="default"/>
          <w:sz w:val="20"/>
          <w:szCs w:val="20"/>
          <w:lang w:val="en-US" w:eastAsia="zh-CN"/>
        </w:rPr>
      </w:pPr>
      <w:r>
        <w:rPr>
          <w:rFonts w:hint="eastAsia"/>
          <w:sz w:val="20"/>
          <w:szCs w:val="20"/>
          <w:lang w:val="en-US" w:eastAsia="zh-CN"/>
        </w:rPr>
        <w:t>In last meeting, RAN4 further discussed detail LP-WUR requirements, MR RRM relaxation requirements and measurement accuracy related issues. The WF has been approved in [1]. In this contribution, we further analyze the RRM impact of LP-WUR, and provide our proposals.</w:t>
      </w:r>
    </w:p>
    <w:p w14:paraId="440462B8">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bookmarkStart w:id="7" w:name="_Hlk70326378"/>
    </w:p>
    <w:p w14:paraId="2B9BAF4C">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General aspects</w:t>
      </w:r>
    </w:p>
    <w:p w14:paraId="587810E5">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b/>
          <w:i/>
          <w:iCs/>
          <w:color w:val="000000" w:themeColor="text1"/>
          <w:sz w:val="20"/>
          <w:szCs w:val="20"/>
          <w:u w:val="single"/>
          <w:lang w:eastAsia="zh-CN"/>
          <w14:textFill>
            <w14:solidFill>
              <w14:schemeClr w14:val="tx1"/>
            </w14:solidFill>
          </w14:textFill>
        </w:rPr>
        <w:t>10</w:t>
      </w:r>
      <w:r>
        <w:rPr>
          <w:b/>
          <w:i/>
          <w:iCs/>
          <w:color w:val="000000" w:themeColor="text1"/>
          <w:sz w:val="20"/>
          <w:szCs w:val="20"/>
          <w:u w:val="single"/>
          <w:lang w:eastAsia="ko-KR"/>
          <w14:textFill>
            <w14:solidFill>
              <w14:schemeClr w14:val="tx1"/>
            </w14:solidFill>
          </w14:textFill>
        </w:rPr>
        <w:t xml:space="preserve">: </w:t>
      </w:r>
      <w:r>
        <w:rPr>
          <w:rFonts w:hint="eastAsia"/>
          <w:b/>
          <w:i/>
          <w:iCs/>
          <w:color w:val="000000" w:themeColor="text1"/>
          <w:sz w:val="20"/>
          <w:szCs w:val="20"/>
          <w:u w:val="single"/>
          <w:lang w:eastAsia="zh-CN"/>
          <w14:textFill>
            <w14:solidFill>
              <w14:schemeClr w14:val="tx1"/>
            </w14:solidFill>
          </w14:textFill>
        </w:rPr>
        <w:t>Considerations on higher priority frequency layer</w:t>
      </w:r>
      <w:r>
        <w:rPr>
          <w:b/>
          <w:i/>
          <w:iCs/>
          <w:color w:val="000000" w:themeColor="text1"/>
          <w:sz w:val="20"/>
          <w:szCs w:val="20"/>
          <w:u w:val="single"/>
          <w:lang w:eastAsia="ko-KR"/>
          <w14:textFill>
            <w14:solidFill>
              <w14:schemeClr w14:val="tx1"/>
            </w14:solidFill>
          </w14:textFill>
        </w:rPr>
        <w:t xml:space="preserve"> </w:t>
      </w:r>
    </w:p>
    <w:p w14:paraId="0C308D0C">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color w:val="000000" w:themeColor="text1"/>
          <w:sz w:val="20"/>
          <w:szCs w:val="20"/>
          <w:highlight w:val="green"/>
          <w:lang w:val="en-US" w:eastAsia="zh-CN"/>
          <w14:textFill>
            <w14:solidFill>
              <w14:schemeClr w14:val="tx1"/>
            </w14:solidFill>
          </w14:textFill>
        </w:rPr>
      </w:pPr>
      <w:r>
        <w:rPr>
          <w:rFonts w:eastAsia="等线"/>
          <w:i/>
          <w:iCs/>
          <w:color w:val="000000" w:themeColor="text1"/>
          <w:sz w:val="20"/>
          <w:szCs w:val="20"/>
          <w:highlight w:val="green"/>
          <w:lang w:val="en-US" w:eastAsia="zh-CN"/>
          <w14:textFill>
            <w14:solidFill>
              <w14:schemeClr w14:val="tx1"/>
            </w14:solidFill>
          </w14:textFill>
        </w:rPr>
        <w:t>Agreement:</w:t>
      </w:r>
    </w:p>
    <w:p w14:paraId="3D9FBFCE">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14:textFill>
            <w14:solidFill>
              <w14:schemeClr w14:val="tx1"/>
            </w14:solidFill>
          </w14:textFill>
        </w:rPr>
      </w:pPr>
      <w:r>
        <w:rPr>
          <w:rFonts w:eastAsia="宋体"/>
          <w:i/>
          <w:iCs/>
          <w:color w:val="000000" w:themeColor="text1"/>
          <w:sz w:val="20"/>
          <w:szCs w:val="20"/>
          <w14:textFill>
            <w14:solidFill>
              <w14:schemeClr w14:val="tx1"/>
            </w14:solidFill>
          </w14:textFill>
        </w:rPr>
        <w:t>Support relaxed higher priority frequency layer search at case 1</w:t>
      </w:r>
    </w:p>
    <w:p w14:paraId="448B1B57">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Recommendations:</w:t>
      </w:r>
    </w:p>
    <w:p w14:paraId="0875D340">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Further discussion on detail on requirements and related tentative agreement.</w:t>
      </w:r>
    </w:p>
    <w:p w14:paraId="73DEA1A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Theme="minorEastAsia"/>
          <w:sz w:val="20"/>
          <w:szCs w:val="20"/>
          <w:lang w:val="en-US" w:eastAsia="zh-CN"/>
        </w:rPr>
      </w:pPr>
      <w:r>
        <w:rPr>
          <w:rFonts w:hint="eastAsia"/>
          <w:sz w:val="20"/>
          <w:szCs w:val="20"/>
          <w:lang w:val="en-US" w:eastAsia="zh-CN"/>
        </w:rPr>
        <w:t xml:space="preserve">For Case 1, in order to guarantee UE power saving gain, we are ok to only apply the relaxed higher priority layer measurement requirement, that </w:t>
      </w:r>
      <w:r>
        <w:rPr>
          <w:sz w:val="20"/>
          <w:szCs w:val="20"/>
        </w:rPr>
        <w:t>the UE shall search for inter-frequency</w:t>
      </w:r>
      <w:r>
        <w:rPr>
          <w:rFonts w:hint="eastAsia"/>
          <w:sz w:val="20"/>
          <w:szCs w:val="20"/>
          <w:lang w:val="en-US" w:eastAsia="zh-CN"/>
        </w:rPr>
        <w:t xml:space="preserve"> and inter-RAT</w:t>
      </w:r>
      <w:r>
        <w:rPr>
          <w:sz w:val="20"/>
          <w:szCs w:val="20"/>
        </w:rPr>
        <w:t xml:space="preserve"> layers of higher priority at least every K2*T</w:t>
      </w:r>
      <w:r>
        <w:rPr>
          <w:sz w:val="20"/>
          <w:szCs w:val="20"/>
          <w:vertAlign w:val="subscript"/>
        </w:rPr>
        <w:t xml:space="preserve">higher_priority_search </w:t>
      </w:r>
      <w:r>
        <w:rPr>
          <w:sz w:val="20"/>
          <w:szCs w:val="20"/>
        </w:rPr>
        <w:t>where T</w:t>
      </w:r>
      <w:r>
        <w:rPr>
          <w:sz w:val="20"/>
          <w:szCs w:val="20"/>
          <w:vertAlign w:val="subscript"/>
        </w:rPr>
        <w:t>higher_priority_search</w:t>
      </w:r>
      <w:r>
        <w:rPr>
          <w:sz w:val="20"/>
          <w:szCs w:val="20"/>
        </w:rPr>
        <w:t xml:space="preserve"> is (</w:t>
      </w:r>
      <w:r>
        <w:rPr>
          <w:sz w:val="20"/>
          <w:szCs w:val="20"/>
          <w:lang w:eastAsia="zh-CN"/>
        </w:rPr>
        <w:t>60</w:t>
      </w:r>
      <w:r>
        <w:rPr>
          <w:sz w:val="20"/>
          <w:szCs w:val="20"/>
        </w:rPr>
        <w:t xml:space="preserve"> * N</w:t>
      </w:r>
      <w:r>
        <w:rPr>
          <w:sz w:val="20"/>
          <w:szCs w:val="20"/>
          <w:vertAlign w:val="subscript"/>
        </w:rPr>
        <w:t>layers</w:t>
      </w:r>
      <w:r>
        <w:rPr>
          <w:sz w:val="20"/>
          <w:szCs w:val="20"/>
        </w:rPr>
        <w:t>) and K2=60</w:t>
      </w:r>
      <w:r>
        <w:rPr>
          <w:rFonts w:hint="eastAsia"/>
          <w:sz w:val="20"/>
          <w:szCs w:val="20"/>
          <w:lang w:val="en-US" w:eastAsia="zh-CN"/>
        </w:rPr>
        <w:t>.</w:t>
      </w:r>
    </w:p>
    <w:p w14:paraId="2B26364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For Case 3, since MR is still running, the legacy logic can be reused, that </w:t>
      </w:r>
    </w:p>
    <w:p w14:paraId="7A5447EA">
      <w:pPr>
        <w:numPr>
          <w:ilvl w:val="0"/>
          <w:numId w:val="6"/>
        </w:numPr>
        <w:ind w:left="42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If Srxlev &gt; S</w:t>
      </w:r>
      <w:r>
        <w:rPr>
          <w:rFonts w:hint="default" w:ascii="Times New Roman" w:hAnsi="Times New Roman" w:cs="Times New Roman"/>
          <w:b w:val="0"/>
          <w:bCs w:val="0"/>
          <w:sz w:val="20"/>
          <w:szCs w:val="20"/>
          <w:vertAlign w:val="subscript"/>
        </w:rPr>
        <w:t>nonIntraSearchP</w:t>
      </w:r>
      <w:r>
        <w:rPr>
          <w:rFonts w:hint="default" w:ascii="Times New Roman" w:hAnsi="Times New Roman" w:cs="Times New Roman"/>
          <w:b w:val="0"/>
          <w:bCs w:val="0"/>
          <w:sz w:val="20"/>
          <w:szCs w:val="20"/>
        </w:rPr>
        <w:t xml:space="preserve"> and Squal &gt; S</w:t>
      </w:r>
      <w:r>
        <w:rPr>
          <w:rFonts w:hint="default" w:ascii="Times New Roman" w:hAnsi="Times New Roman" w:cs="Times New Roman"/>
          <w:b w:val="0"/>
          <w:bCs w:val="0"/>
          <w:sz w:val="20"/>
          <w:szCs w:val="20"/>
          <w:vertAlign w:val="subscript"/>
        </w:rPr>
        <w:t>nonIntraSearchQ</w:t>
      </w:r>
      <w:r>
        <w:rPr>
          <w:rFonts w:hint="default" w:ascii="Times New Roman" w:hAnsi="Times New Roman" w:cs="Times New Roman"/>
          <w:b w:val="0"/>
          <w:bCs w:val="0"/>
          <w:sz w:val="20"/>
          <w:szCs w:val="20"/>
        </w:rPr>
        <w:t xml:space="preserve"> then the UE shall search for inter-frequency layers of higher priority at least every T</w:t>
      </w:r>
      <w:r>
        <w:rPr>
          <w:rFonts w:hint="default" w:ascii="Times New Roman" w:hAnsi="Times New Roman" w:cs="Times New Roman"/>
          <w:b w:val="0"/>
          <w:bCs w:val="0"/>
          <w:sz w:val="20"/>
          <w:szCs w:val="20"/>
          <w:vertAlign w:val="subscript"/>
        </w:rPr>
        <w:t>higher_priority_search</w:t>
      </w:r>
    </w:p>
    <w:p w14:paraId="6468D42C">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sz w:val="20"/>
          <w:szCs w:val="20"/>
          <w:lang w:val="en-US" w:eastAsia="zh-CN"/>
        </w:rPr>
      </w:pPr>
      <w:r>
        <w:rPr>
          <w:rFonts w:hint="default" w:ascii="Times New Roman" w:hAnsi="Times New Roman" w:eastAsia="Malgun Gothic" w:cs="Times New Roman"/>
          <w:b w:val="0"/>
          <w:bCs w:val="0"/>
          <w:sz w:val="20"/>
          <w:szCs w:val="20"/>
        </w:rPr>
        <w:t xml:space="preserve">If Srxlev </w:t>
      </w:r>
      <w:r>
        <w:rPr>
          <w:rFonts w:hint="default" w:ascii="Times New Roman" w:hAnsi="Times New Roman" w:eastAsia="Malgun Gothic" w:cs="Times New Roman"/>
          <w:b w:val="0"/>
          <w:bCs w:val="0"/>
          <w:sz w:val="20"/>
          <w:szCs w:val="20"/>
          <w:lang w:val="en-US"/>
        </w:rPr>
        <w:t>≤</w:t>
      </w:r>
      <w:r>
        <w:rPr>
          <w:rFonts w:hint="default" w:ascii="Times New Roman" w:hAnsi="Times New Roman" w:eastAsia="Malgun Gothic" w:cs="Times New Roman"/>
          <w:b w:val="0"/>
          <w:bCs w:val="0"/>
          <w:sz w:val="20"/>
          <w:szCs w:val="20"/>
        </w:rPr>
        <w:t xml:space="preserve"> S</w:t>
      </w:r>
      <w:r>
        <w:rPr>
          <w:rFonts w:hint="default" w:ascii="Times New Roman" w:hAnsi="Times New Roman" w:eastAsia="Malgun Gothic" w:cs="Times New Roman"/>
          <w:b w:val="0"/>
          <w:bCs w:val="0"/>
          <w:sz w:val="20"/>
          <w:szCs w:val="20"/>
          <w:vertAlign w:val="subscript"/>
        </w:rPr>
        <w:t>nonIntraSearchP</w:t>
      </w:r>
      <w:r>
        <w:rPr>
          <w:rFonts w:hint="default" w:ascii="Times New Roman" w:hAnsi="Times New Roman" w:eastAsia="Malgun Gothic" w:cs="Times New Roman"/>
          <w:b w:val="0"/>
          <w:bCs w:val="0"/>
          <w:sz w:val="20"/>
          <w:szCs w:val="20"/>
        </w:rPr>
        <w:t xml:space="preserve"> or Squal </w:t>
      </w:r>
      <w:r>
        <w:rPr>
          <w:rFonts w:hint="default" w:ascii="Times New Roman" w:hAnsi="Times New Roman" w:eastAsia="Malgun Gothic" w:cs="Times New Roman"/>
          <w:b w:val="0"/>
          <w:bCs w:val="0"/>
          <w:sz w:val="20"/>
          <w:szCs w:val="20"/>
          <w:lang w:val="en-US"/>
        </w:rPr>
        <w:t>≤</w:t>
      </w:r>
      <w:r>
        <w:rPr>
          <w:rFonts w:hint="default" w:ascii="Times New Roman" w:hAnsi="Times New Roman" w:eastAsia="Malgun Gothic" w:cs="Times New Roman"/>
          <w:b w:val="0"/>
          <w:bCs w:val="0"/>
          <w:sz w:val="20"/>
          <w:szCs w:val="20"/>
        </w:rPr>
        <w:t xml:space="preserve"> S</w:t>
      </w:r>
      <w:r>
        <w:rPr>
          <w:rFonts w:hint="default" w:ascii="Times New Roman" w:hAnsi="Times New Roman" w:eastAsia="Malgun Gothic" w:cs="Times New Roman"/>
          <w:b w:val="0"/>
          <w:bCs w:val="0"/>
          <w:sz w:val="20"/>
          <w:szCs w:val="20"/>
          <w:vertAlign w:val="subscript"/>
        </w:rPr>
        <w:t>nonIntraSearchQ</w:t>
      </w:r>
      <w:r>
        <w:rPr>
          <w:rFonts w:hint="default" w:ascii="Times New Roman" w:hAnsi="Times New Roman" w:eastAsia="Malgun Gothic" w:cs="Times New Roman"/>
          <w:b w:val="0"/>
          <w:bCs w:val="0"/>
          <w:sz w:val="20"/>
          <w:szCs w:val="20"/>
        </w:rPr>
        <w:t xml:space="preserve"> then the UE shall search for and measure inter-frequency layers of higher priority </w:t>
      </w:r>
      <w:r>
        <w:rPr>
          <w:rFonts w:hint="default" w:ascii="Times New Roman" w:hAnsi="Times New Roman" w:eastAsia="宋体" w:cs="Times New Roman"/>
          <w:b w:val="0"/>
          <w:bCs w:val="0"/>
          <w:sz w:val="20"/>
          <w:szCs w:val="20"/>
          <w:lang w:val="en-US" w:eastAsia="zh-CN"/>
        </w:rPr>
        <w:t xml:space="preserve">at least </w:t>
      </w:r>
      <w:r>
        <w:rPr>
          <w:rFonts w:hint="default" w:ascii="Times New Roman" w:hAnsi="Times New Roman" w:eastAsia="Malgun Gothic" w:cs="Times New Roman"/>
          <w:b w:val="0"/>
          <w:bCs w:val="0"/>
          <w:sz w:val="20"/>
          <w:szCs w:val="20"/>
        </w:rPr>
        <w:t>T</w:t>
      </w:r>
      <w:r>
        <w:rPr>
          <w:rFonts w:hint="default" w:ascii="Times New Roman" w:hAnsi="Times New Roman" w:eastAsia="Malgun Gothic" w:cs="Times New Roman"/>
          <w:b w:val="0"/>
          <w:bCs w:val="0"/>
          <w:sz w:val="20"/>
          <w:szCs w:val="20"/>
          <w:vertAlign w:val="subscript"/>
        </w:rPr>
        <w:t>detect,NR_Inter,</w:t>
      </w:r>
      <w:r>
        <w:rPr>
          <w:rFonts w:hint="default" w:ascii="Times New Roman" w:hAnsi="Times New Roman" w:eastAsia="Malgun Gothic" w:cs="Times New Roman"/>
          <w:b w:val="0"/>
          <w:bCs w:val="0"/>
          <w:sz w:val="20"/>
          <w:szCs w:val="20"/>
        </w:rPr>
        <w:t xml:space="preserve"> T</w:t>
      </w:r>
      <w:r>
        <w:rPr>
          <w:rFonts w:hint="default" w:ascii="Times New Roman" w:hAnsi="Times New Roman" w:eastAsia="Malgun Gothic" w:cs="Times New Roman"/>
          <w:b w:val="0"/>
          <w:bCs w:val="0"/>
          <w:sz w:val="20"/>
          <w:szCs w:val="20"/>
          <w:vertAlign w:val="subscript"/>
        </w:rPr>
        <w:t>measure,NR_Inter</w:t>
      </w:r>
      <w:r>
        <w:rPr>
          <w:rFonts w:hint="default" w:ascii="Times New Roman" w:hAnsi="Times New Roman" w:eastAsia="Malgun Gothic" w:cs="Times New Roman"/>
          <w:b w:val="0"/>
          <w:bCs w:val="0"/>
          <w:sz w:val="20"/>
          <w:szCs w:val="20"/>
        </w:rPr>
        <w:t xml:space="preserve"> and T</w:t>
      </w:r>
      <w:r>
        <w:rPr>
          <w:rFonts w:hint="default" w:ascii="Times New Roman" w:hAnsi="Times New Roman" w:eastAsia="Malgun Gothic" w:cs="Times New Roman"/>
          <w:b w:val="0"/>
          <w:bCs w:val="0"/>
          <w:sz w:val="20"/>
          <w:szCs w:val="20"/>
          <w:vertAlign w:val="subscript"/>
        </w:rPr>
        <w:t>evaluate,NR_Inter</w:t>
      </w:r>
      <w:r>
        <w:rPr>
          <w:rFonts w:hint="default" w:ascii="Times New Roman" w:hAnsi="Times New Roman" w:eastAsia="Malgun Gothic" w:cs="Times New Roman"/>
          <w:b w:val="0"/>
          <w:bCs w:val="0"/>
          <w:sz w:val="20"/>
          <w:szCs w:val="20"/>
        </w:rPr>
        <w:t>.</w:t>
      </w:r>
    </w:p>
    <w:p w14:paraId="3EAEA2FC">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ascii="Times New Roman" w:hAnsi="Times New Roman" w:eastAsia="宋体" w:cs="Times New Roman"/>
          <w:b w:val="0"/>
          <w:bCs w:val="0"/>
          <w:sz w:val="20"/>
          <w:szCs w:val="20"/>
          <w:lang w:val="en-US" w:eastAsia="zh-CN"/>
        </w:rPr>
      </w:pPr>
      <w:r>
        <w:rPr>
          <w:rFonts w:hint="eastAsia" w:ascii="Times New Roman" w:hAnsi="Times New Roman" w:eastAsia="宋体" w:cs="Times New Roman"/>
          <w:b w:val="0"/>
          <w:bCs w:val="0"/>
          <w:sz w:val="20"/>
          <w:szCs w:val="20"/>
          <w:lang w:val="en-US" w:eastAsia="zh-CN"/>
        </w:rPr>
        <w:t>Meanwhile, since the scaling factor 16 has agreed to be used in Case3, we are also fine to consider the scaling factor 16 for high priority measurement for UE power saving demand.</w:t>
      </w:r>
    </w:p>
    <w:p w14:paraId="1673EA0B">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 xml:space="preserve">Proposal 1: For Case 1, </w:t>
      </w:r>
      <w:r>
        <w:rPr>
          <w:b/>
          <w:bCs/>
          <w:i/>
          <w:iCs/>
          <w:sz w:val="20"/>
          <w:szCs w:val="20"/>
        </w:rPr>
        <w:t>UE shall search for inter-frequency</w:t>
      </w:r>
      <w:r>
        <w:rPr>
          <w:rFonts w:hint="eastAsia"/>
          <w:b/>
          <w:bCs/>
          <w:i/>
          <w:iCs/>
          <w:sz w:val="20"/>
          <w:szCs w:val="20"/>
          <w:lang w:val="en-US" w:eastAsia="zh-CN"/>
        </w:rPr>
        <w:t xml:space="preserve"> and inter-RAT</w:t>
      </w:r>
      <w:r>
        <w:rPr>
          <w:b/>
          <w:bCs/>
          <w:i/>
          <w:iCs/>
          <w:sz w:val="20"/>
          <w:szCs w:val="20"/>
        </w:rPr>
        <w:t xml:space="preserve"> layers of higher priority at least every K2*T</w:t>
      </w:r>
      <w:r>
        <w:rPr>
          <w:b/>
          <w:bCs/>
          <w:i/>
          <w:iCs/>
          <w:sz w:val="20"/>
          <w:szCs w:val="20"/>
          <w:vertAlign w:val="subscript"/>
        </w:rPr>
        <w:t xml:space="preserve">higher_priority_search </w:t>
      </w:r>
      <w:r>
        <w:rPr>
          <w:b/>
          <w:bCs/>
          <w:i/>
          <w:iCs/>
          <w:sz w:val="20"/>
          <w:szCs w:val="20"/>
        </w:rPr>
        <w:t>where T</w:t>
      </w:r>
      <w:r>
        <w:rPr>
          <w:b/>
          <w:bCs/>
          <w:i/>
          <w:iCs/>
          <w:sz w:val="20"/>
          <w:szCs w:val="20"/>
          <w:vertAlign w:val="subscript"/>
        </w:rPr>
        <w:t>higher_priority_search</w:t>
      </w:r>
      <w:r>
        <w:rPr>
          <w:b/>
          <w:bCs/>
          <w:i/>
          <w:iCs/>
          <w:sz w:val="20"/>
          <w:szCs w:val="20"/>
        </w:rPr>
        <w:t xml:space="preserve"> is (</w:t>
      </w:r>
      <w:r>
        <w:rPr>
          <w:b/>
          <w:bCs/>
          <w:i/>
          <w:iCs/>
          <w:sz w:val="20"/>
          <w:szCs w:val="20"/>
          <w:lang w:eastAsia="zh-CN"/>
        </w:rPr>
        <w:t>60</w:t>
      </w:r>
      <w:r>
        <w:rPr>
          <w:b/>
          <w:bCs/>
          <w:i/>
          <w:iCs/>
          <w:sz w:val="20"/>
          <w:szCs w:val="20"/>
        </w:rPr>
        <w:t xml:space="preserve"> * N</w:t>
      </w:r>
      <w:r>
        <w:rPr>
          <w:b/>
          <w:bCs/>
          <w:i/>
          <w:iCs/>
          <w:sz w:val="20"/>
          <w:szCs w:val="20"/>
          <w:vertAlign w:val="subscript"/>
        </w:rPr>
        <w:t>layers</w:t>
      </w:r>
      <w:r>
        <w:rPr>
          <w:b/>
          <w:bCs/>
          <w:i/>
          <w:iCs/>
          <w:sz w:val="20"/>
          <w:szCs w:val="20"/>
        </w:rPr>
        <w:t>) and K2=60</w:t>
      </w:r>
      <w:r>
        <w:rPr>
          <w:rFonts w:hint="eastAsia"/>
          <w:b/>
          <w:bCs/>
          <w:i/>
          <w:iCs/>
          <w:sz w:val="20"/>
          <w:szCs w:val="20"/>
          <w:lang w:val="en-US" w:eastAsia="zh-CN"/>
        </w:rPr>
        <w:t>.</w:t>
      </w:r>
    </w:p>
    <w:p w14:paraId="628D3983">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 xml:space="preserve">Proposal 2: For Case 3, </w:t>
      </w:r>
    </w:p>
    <w:p w14:paraId="1963484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textAlignment w:val="auto"/>
        <w:rPr>
          <w:rFonts w:hint="default" w:ascii="Times New Roman" w:hAnsi="Times New Roman" w:cs="Times New Roman"/>
          <w:b/>
          <w:bCs w:val="0"/>
          <w:i/>
          <w:iCs/>
          <w:sz w:val="20"/>
          <w:szCs w:val="20"/>
          <w:u w:val="none"/>
        </w:rPr>
      </w:pPr>
      <w:r>
        <w:rPr>
          <w:rFonts w:hint="default" w:ascii="Times New Roman" w:hAnsi="Times New Roman" w:cs="Times New Roman"/>
          <w:b/>
          <w:bCs w:val="0"/>
          <w:i/>
          <w:iCs/>
          <w:sz w:val="20"/>
          <w:szCs w:val="20"/>
          <w:u w:val="none"/>
        </w:rPr>
        <w:t>If Srxlev &gt; S</w:t>
      </w:r>
      <w:r>
        <w:rPr>
          <w:rFonts w:hint="default" w:ascii="Times New Roman" w:hAnsi="Times New Roman" w:cs="Times New Roman"/>
          <w:b/>
          <w:bCs w:val="0"/>
          <w:i/>
          <w:iCs/>
          <w:sz w:val="20"/>
          <w:szCs w:val="20"/>
          <w:u w:val="none"/>
          <w:vertAlign w:val="subscript"/>
        </w:rPr>
        <w:t>nonIntraSearchP</w:t>
      </w:r>
      <w:r>
        <w:rPr>
          <w:rFonts w:hint="default" w:ascii="Times New Roman" w:hAnsi="Times New Roman" w:cs="Times New Roman"/>
          <w:b/>
          <w:bCs w:val="0"/>
          <w:i/>
          <w:iCs/>
          <w:sz w:val="20"/>
          <w:szCs w:val="20"/>
          <w:u w:val="none"/>
        </w:rPr>
        <w:t xml:space="preserve"> and Squal &gt; S</w:t>
      </w:r>
      <w:r>
        <w:rPr>
          <w:rFonts w:hint="default" w:ascii="Times New Roman" w:hAnsi="Times New Roman" w:cs="Times New Roman"/>
          <w:b/>
          <w:bCs w:val="0"/>
          <w:i/>
          <w:iCs/>
          <w:sz w:val="20"/>
          <w:szCs w:val="20"/>
          <w:u w:val="none"/>
          <w:vertAlign w:val="subscript"/>
        </w:rPr>
        <w:t>nonIntraSearchQ</w:t>
      </w:r>
      <w:r>
        <w:rPr>
          <w:rFonts w:hint="eastAsia" w:cs="Times New Roman"/>
          <w:b/>
          <w:bCs w:val="0"/>
          <w:i/>
          <w:iCs/>
          <w:sz w:val="20"/>
          <w:szCs w:val="20"/>
          <w:u w:val="none"/>
          <w:vertAlign w:val="baseline"/>
          <w:lang w:val="en-US" w:eastAsia="zh-CN"/>
        </w:rPr>
        <w:t>,</w:t>
      </w:r>
      <w:r>
        <w:rPr>
          <w:rFonts w:hint="default" w:ascii="Times New Roman" w:hAnsi="Times New Roman" w:cs="Times New Roman"/>
          <w:b/>
          <w:bCs w:val="0"/>
          <w:i/>
          <w:iCs/>
          <w:sz w:val="20"/>
          <w:szCs w:val="20"/>
          <w:u w:val="none"/>
        </w:rPr>
        <w:t xml:space="preserve"> then the UE shall search for inter-frequency layers of higher priority at least every </w:t>
      </w:r>
      <w:r>
        <w:rPr>
          <w:rFonts w:hint="eastAsia" w:cs="Times New Roman"/>
          <w:b/>
          <w:bCs w:val="0"/>
          <w:i/>
          <w:iCs/>
          <w:sz w:val="20"/>
          <w:szCs w:val="20"/>
          <w:u w:val="none"/>
          <w:lang w:val="en-US" w:eastAsia="zh-CN"/>
        </w:rPr>
        <w:t xml:space="preserve">16 * </w:t>
      </w:r>
      <w:r>
        <w:rPr>
          <w:rFonts w:hint="default" w:ascii="Times New Roman" w:hAnsi="Times New Roman" w:cs="Times New Roman"/>
          <w:b/>
          <w:bCs w:val="0"/>
          <w:i/>
          <w:iCs/>
          <w:sz w:val="20"/>
          <w:szCs w:val="20"/>
          <w:u w:val="none"/>
        </w:rPr>
        <w:t>T</w:t>
      </w:r>
      <w:r>
        <w:rPr>
          <w:rFonts w:hint="default" w:ascii="Times New Roman" w:hAnsi="Times New Roman" w:cs="Times New Roman"/>
          <w:b/>
          <w:bCs w:val="0"/>
          <w:i/>
          <w:iCs/>
          <w:sz w:val="20"/>
          <w:szCs w:val="20"/>
          <w:u w:val="none"/>
          <w:vertAlign w:val="subscript"/>
        </w:rPr>
        <w:t>higher_priority_search</w:t>
      </w:r>
      <w:r>
        <w:rPr>
          <w:rFonts w:hint="eastAsia" w:cs="Times New Roman"/>
          <w:b/>
          <w:bCs w:val="0"/>
          <w:i/>
          <w:iCs/>
          <w:sz w:val="20"/>
          <w:szCs w:val="20"/>
          <w:u w:val="none"/>
          <w:vertAlign w:val="baseline"/>
          <w:lang w:val="en-US" w:eastAsia="zh-CN"/>
        </w:rPr>
        <w:t xml:space="preserve">, </w:t>
      </w:r>
      <w:r>
        <w:rPr>
          <w:b/>
          <w:bCs w:val="0"/>
          <w:i/>
          <w:iCs/>
          <w:sz w:val="20"/>
          <w:szCs w:val="20"/>
          <w:u w:val="none"/>
        </w:rPr>
        <w:t>where T</w:t>
      </w:r>
      <w:r>
        <w:rPr>
          <w:b/>
          <w:bCs w:val="0"/>
          <w:i/>
          <w:iCs/>
          <w:sz w:val="20"/>
          <w:szCs w:val="20"/>
          <w:u w:val="none"/>
          <w:vertAlign w:val="subscript"/>
        </w:rPr>
        <w:t>higher_priority_search</w:t>
      </w:r>
      <w:r>
        <w:rPr>
          <w:b/>
          <w:bCs w:val="0"/>
          <w:i/>
          <w:iCs/>
          <w:sz w:val="20"/>
          <w:szCs w:val="20"/>
          <w:u w:val="none"/>
        </w:rPr>
        <w:t xml:space="preserve"> is (</w:t>
      </w:r>
      <w:r>
        <w:rPr>
          <w:b/>
          <w:bCs w:val="0"/>
          <w:i/>
          <w:iCs/>
          <w:sz w:val="20"/>
          <w:szCs w:val="20"/>
          <w:u w:val="none"/>
          <w:lang w:eastAsia="zh-CN"/>
        </w:rPr>
        <w:t>60</w:t>
      </w:r>
      <w:r>
        <w:rPr>
          <w:b/>
          <w:bCs w:val="0"/>
          <w:i/>
          <w:iCs/>
          <w:sz w:val="20"/>
          <w:szCs w:val="20"/>
          <w:u w:val="none"/>
        </w:rPr>
        <w:t xml:space="preserve"> * N</w:t>
      </w:r>
      <w:r>
        <w:rPr>
          <w:b/>
          <w:bCs w:val="0"/>
          <w:i/>
          <w:iCs/>
          <w:sz w:val="20"/>
          <w:szCs w:val="20"/>
          <w:u w:val="none"/>
          <w:vertAlign w:val="subscript"/>
        </w:rPr>
        <w:t>layers</w:t>
      </w:r>
      <w:r>
        <w:rPr>
          <w:b/>
          <w:bCs w:val="0"/>
          <w:i/>
          <w:iCs/>
          <w:sz w:val="20"/>
          <w:szCs w:val="20"/>
          <w:u w:val="none"/>
        </w:rPr>
        <w:t>)</w:t>
      </w:r>
    </w:p>
    <w:p w14:paraId="112B7BF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val="0"/>
          <w:i/>
          <w:iCs/>
          <w:sz w:val="20"/>
          <w:szCs w:val="20"/>
          <w:u w:val="none"/>
          <w:lang w:val="en-US" w:eastAsia="zh-CN"/>
        </w:rPr>
      </w:pPr>
      <w:r>
        <w:rPr>
          <w:rFonts w:hint="default" w:ascii="Times New Roman" w:hAnsi="Times New Roman" w:eastAsia="Malgun Gothic" w:cs="Times New Roman"/>
          <w:b/>
          <w:bCs w:val="0"/>
          <w:i/>
          <w:iCs/>
          <w:sz w:val="20"/>
          <w:szCs w:val="20"/>
          <w:u w:val="none"/>
        </w:rPr>
        <w:t xml:space="preserve">If Srxlev </w:t>
      </w:r>
      <w:r>
        <w:rPr>
          <w:rFonts w:hint="default" w:ascii="Times New Roman" w:hAnsi="Times New Roman" w:eastAsia="Malgun Gothic" w:cs="Times New Roman"/>
          <w:b/>
          <w:bCs w:val="0"/>
          <w:i/>
          <w:iCs/>
          <w:sz w:val="20"/>
          <w:szCs w:val="20"/>
          <w:u w:val="none"/>
          <w:lang w:val="en-US"/>
        </w:rPr>
        <w:t>≤</w:t>
      </w:r>
      <w:r>
        <w:rPr>
          <w:rFonts w:hint="default" w:ascii="Times New Roman" w:hAnsi="Times New Roman" w:eastAsia="Malgun Gothic" w:cs="Times New Roman"/>
          <w:b/>
          <w:bCs w:val="0"/>
          <w:i/>
          <w:iCs/>
          <w:sz w:val="20"/>
          <w:szCs w:val="20"/>
          <w:u w:val="none"/>
        </w:rPr>
        <w:t xml:space="preserve"> S</w:t>
      </w:r>
      <w:r>
        <w:rPr>
          <w:rFonts w:hint="default" w:ascii="Times New Roman" w:hAnsi="Times New Roman" w:eastAsia="Malgun Gothic" w:cs="Times New Roman"/>
          <w:b/>
          <w:bCs w:val="0"/>
          <w:i/>
          <w:iCs/>
          <w:sz w:val="20"/>
          <w:szCs w:val="20"/>
          <w:u w:val="none"/>
          <w:vertAlign w:val="subscript"/>
        </w:rPr>
        <w:t>nonIntraSearchP</w:t>
      </w:r>
      <w:r>
        <w:rPr>
          <w:rFonts w:hint="default" w:ascii="Times New Roman" w:hAnsi="Times New Roman" w:eastAsia="Malgun Gothic" w:cs="Times New Roman"/>
          <w:b/>
          <w:bCs w:val="0"/>
          <w:i/>
          <w:iCs/>
          <w:sz w:val="20"/>
          <w:szCs w:val="20"/>
          <w:u w:val="none"/>
        </w:rPr>
        <w:t xml:space="preserve"> or Squal </w:t>
      </w:r>
      <w:r>
        <w:rPr>
          <w:rFonts w:hint="default" w:ascii="Times New Roman" w:hAnsi="Times New Roman" w:eastAsia="Malgun Gothic" w:cs="Times New Roman"/>
          <w:b/>
          <w:bCs w:val="0"/>
          <w:i/>
          <w:iCs/>
          <w:sz w:val="20"/>
          <w:szCs w:val="20"/>
          <w:u w:val="none"/>
          <w:lang w:val="en-US"/>
        </w:rPr>
        <w:t>≤</w:t>
      </w:r>
      <w:r>
        <w:rPr>
          <w:rFonts w:hint="default" w:ascii="Times New Roman" w:hAnsi="Times New Roman" w:eastAsia="Malgun Gothic" w:cs="Times New Roman"/>
          <w:b/>
          <w:bCs w:val="0"/>
          <w:i/>
          <w:iCs/>
          <w:sz w:val="20"/>
          <w:szCs w:val="20"/>
          <w:u w:val="none"/>
        </w:rPr>
        <w:t xml:space="preserve"> S</w:t>
      </w:r>
      <w:r>
        <w:rPr>
          <w:rFonts w:hint="default" w:ascii="Times New Roman" w:hAnsi="Times New Roman" w:eastAsia="Malgun Gothic" w:cs="Times New Roman"/>
          <w:b/>
          <w:bCs w:val="0"/>
          <w:i/>
          <w:iCs/>
          <w:sz w:val="20"/>
          <w:szCs w:val="20"/>
          <w:u w:val="none"/>
          <w:vertAlign w:val="subscript"/>
        </w:rPr>
        <w:t>nonIntraSearchQ</w:t>
      </w:r>
      <w:r>
        <w:rPr>
          <w:rFonts w:hint="eastAsia" w:cs="Times New Roman"/>
          <w:b/>
          <w:bCs w:val="0"/>
          <w:i/>
          <w:iCs/>
          <w:sz w:val="20"/>
          <w:szCs w:val="20"/>
          <w:u w:val="none"/>
          <w:vertAlign w:val="baseline"/>
          <w:lang w:val="en-US" w:eastAsia="zh-CN"/>
        </w:rPr>
        <w:t>,</w:t>
      </w:r>
      <w:r>
        <w:rPr>
          <w:rFonts w:hint="default" w:ascii="Times New Roman" w:hAnsi="Times New Roman" w:eastAsia="Malgun Gothic" w:cs="Times New Roman"/>
          <w:b/>
          <w:bCs w:val="0"/>
          <w:i/>
          <w:iCs/>
          <w:sz w:val="20"/>
          <w:szCs w:val="20"/>
          <w:u w:val="none"/>
        </w:rPr>
        <w:t xml:space="preserve"> then the UE shall search for and measure inter-frequency layers of higher priority </w:t>
      </w:r>
      <w:r>
        <w:rPr>
          <w:rFonts w:hint="default" w:ascii="Times New Roman" w:hAnsi="Times New Roman" w:eastAsia="宋体" w:cs="Times New Roman"/>
          <w:b/>
          <w:bCs w:val="0"/>
          <w:i/>
          <w:iCs/>
          <w:sz w:val="20"/>
          <w:szCs w:val="20"/>
          <w:u w:val="none"/>
          <w:lang w:val="en-US" w:eastAsia="zh-CN"/>
        </w:rPr>
        <w:t xml:space="preserve">at least </w:t>
      </w:r>
      <w:r>
        <w:rPr>
          <w:rFonts w:hint="default" w:ascii="Times New Roman" w:hAnsi="Times New Roman" w:eastAsia="Malgun Gothic" w:cs="Times New Roman"/>
          <w:b/>
          <w:bCs w:val="0"/>
          <w:i/>
          <w:iCs/>
          <w:sz w:val="20"/>
          <w:szCs w:val="20"/>
          <w:u w:val="none"/>
        </w:rPr>
        <w:t>T</w:t>
      </w:r>
      <w:r>
        <w:rPr>
          <w:rFonts w:hint="default" w:ascii="Times New Roman" w:hAnsi="Times New Roman" w:eastAsia="Malgun Gothic" w:cs="Times New Roman"/>
          <w:b/>
          <w:bCs w:val="0"/>
          <w:i/>
          <w:iCs/>
          <w:sz w:val="20"/>
          <w:szCs w:val="20"/>
          <w:u w:val="none"/>
          <w:vertAlign w:val="subscript"/>
        </w:rPr>
        <w:t>detect,NR_Inter,</w:t>
      </w:r>
      <w:r>
        <w:rPr>
          <w:rFonts w:hint="default" w:ascii="Times New Roman" w:hAnsi="Times New Roman" w:eastAsia="Malgun Gothic" w:cs="Times New Roman"/>
          <w:b/>
          <w:bCs w:val="0"/>
          <w:i/>
          <w:iCs/>
          <w:sz w:val="20"/>
          <w:szCs w:val="20"/>
          <w:u w:val="none"/>
        </w:rPr>
        <w:t xml:space="preserve"> T</w:t>
      </w:r>
      <w:r>
        <w:rPr>
          <w:rFonts w:hint="default" w:ascii="Times New Roman" w:hAnsi="Times New Roman" w:eastAsia="Malgun Gothic" w:cs="Times New Roman"/>
          <w:b/>
          <w:bCs w:val="0"/>
          <w:i/>
          <w:iCs/>
          <w:sz w:val="20"/>
          <w:szCs w:val="20"/>
          <w:u w:val="none"/>
          <w:vertAlign w:val="subscript"/>
        </w:rPr>
        <w:t>measure,NR_Inter</w:t>
      </w:r>
      <w:r>
        <w:rPr>
          <w:rFonts w:hint="default" w:ascii="Times New Roman" w:hAnsi="Times New Roman" w:eastAsia="Malgun Gothic" w:cs="Times New Roman"/>
          <w:b/>
          <w:bCs w:val="0"/>
          <w:i/>
          <w:iCs/>
          <w:sz w:val="20"/>
          <w:szCs w:val="20"/>
          <w:u w:val="none"/>
        </w:rPr>
        <w:t xml:space="preserve"> and T</w:t>
      </w:r>
      <w:r>
        <w:rPr>
          <w:rFonts w:hint="default" w:ascii="Times New Roman" w:hAnsi="Times New Roman" w:eastAsia="Malgun Gothic" w:cs="Times New Roman"/>
          <w:b/>
          <w:bCs w:val="0"/>
          <w:i/>
          <w:iCs/>
          <w:sz w:val="20"/>
          <w:szCs w:val="20"/>
          <w:u w:val="none"/>
          <w:vertAlign w:val="subscript"/>
        </w:rPr>
        <w:t>evaluate,NR_Inter</w:t>
      </w:r>
      <w:r>
        <w:rPr>
          <w:rFonts w:hint="eastAsia" w:eastAsia="宋体" w:cs="Times New Roman"/>
          <w:b/>
          <w:bCs w:val="0"/>
          <w:i/>
          <w:iCs/>
          <w:sz w:val="20"/>
          <w:szCs w:val="20"/>
          <w:u w:val="none"/>
          <w:vertAlign w:val="baseline"/>
          <w:lang w:val="en-US" w:eastAsia="zh-CN"/>
        </w:rPr>
        <w:t xml:space="preserve"> with scaling factor 16</w:t>
      </w:r>
      <w:r>
        <w:rPr>
          <w:rFonts w:hint="default" w:ascii="Times New Roman" w:hAnsi="Times New Roman" w:eastAsia="Malgun Gothic" w:cs="Times New Roman"/>
          <w:b/>
          <w:bCs w:val="0"/>
          <w:i/>
          <w:iCs/>
          <w:sz w:val="20"/>
          <w:szCs w:val="20"/>
          <w:u w:val="none"/>
        </w:rPr>
        <w:t>.</w:t>
      </w:r>
    </w:p>
    <w:p w14:paraId="7F0DB32D">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Detail LP-WUR requirements at RRC_IDLE/INACTIVE state</w:t>
      </w:r>
    </w:p>
    <w:p w14:paraId="5364F994">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bookmarkStart w:id="8" w:name="_Hlk195171736"/>
      <w:r>
        <w:rPr>
          <w:b/>
          <w:i/>
          <w:iCs/>
          <w:color w:val="000000" w:themeColor="text1"/>
          <w:sz w:val="20"/>
          <w:szCs w:val="20"/>
          <w:u w:val="single"/>
          <w:lang w:eastAsia="ko-KR"/>
          <w14:textFill>
            <w14:solidFill>
              <w14:schemeClr w14:val="tx1"/>
            </w14:solidFill>
          </w14:textFill>
        </w:rPr>
        <w:t xml:space="preserve">Issue 1-2-2-1: </w:t>
      </w:r>
      <w:r>
        <w:rPr>
          <w:rFonts w:hint="eastAsia"/>
          <w:b/>
          <w:i/>
          <w:iCs/>
          <w:color w:val="000000" w:themeColor="text1"/>
          <w:sz w:val="20"/>
          <w:szCs w:val="20"/>
          <w:u w:val="single"/>
          <w:lang w:eastAsia="ko-KR"/>
          <w14:textFill>
            <w14:solidFill>
              <w14:schemeClr w14:val="tx1"/>
            </w14:solidFill>
          </w14:textFill>
        </w:rPr>
        <w:t>Lower</w:t>
      </w:r>
      <w:r>
        <w:rPr>
          <w:b/>
          <w:i/>
          <w:iCs/>
          <w:color w:val="000000" w:themeColor="text1"/>
          <w:sz w:val="20"/>
          <w:szCs w:val="20"/>
          <w:u w:val="single"/>
          <w:lang w:eastAsia="ko-KR"/>
          <w14:textFill>
            <w14:solidFill>
              <w14:schemeClr w14:val="tx1"/>
            </w14:solidFill>
          </w14:textFill>
        </w:rPr>
        <w:t xml:space="preserve"> bound on LP-SS measurement periodicity</w:t>
      </w:r>
    </w:p>
    <w:bookmarkEnd w:id="8"/>
    <w:p w14:paraId="73D4974A">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Recommendations:</w:t>
      </w:r>
    </w:p>
    <w:p w14:paraId="0716420C">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Continue discussion</w:t>
      </w:r>
    </w:p>
    <w:p w14:paraId="10D0FF69">
      <w:pPr>
        <w:keepNext w:val="0"/>
        <w:keepLines w:val="0"/>
        <w:pageBreakBefore w:val="0"/>
        <w:widowControl/>
        <w:kinsoku/>
        <w:wordWrap/>
        <w:overflowPunct/>
        <w:topLinePunct w:val="0"/>
        <w:autoSpaceDE/>
        <w:autoSpaceDN/>
        <w:bidi w:val="0"/>
        <w:adjustRightInd/>
        <w:snapToGrid/>
        <w:spacing w:before="60" w:after="60"/>
        <w:textAlignment w:val="auto"/>
        <w:rPr>
          <w:bCs/>
          <w:i/>
          <w:iCs/>
          <w:color w:val="000000" w:themeColor="text1"/>
          <w:sz w:val="20"/>
          <w:szCs w:val="20"/>
          <w14:textFill>
            <w14:solidFill>
              <w14:schemeClr w14:val="tx1"/>
            </w14:solidFill>
          </w14:textFill>
        </w:rPr>
      </w:pPr>
      <w:r>
        <w:rPr>
          <w:rFonts w:eastAsiaTheme="minorEastAsia"/>
          <w:i/>
          <w:iCs/>
          <w:color w:val="000000" w:themeColor="text1"/>
          <w:sz w:val="20"/>
          <w:szCs w:val="20"/>
          <w:highlight w:val="green"/>
          <w:lang w:val="en-US" w:eastAsia="zh-CN"/>
          <w14:textFill>
            <w14:solidFill>
              <w14:schemeClr w14:val="tx1"/>
            </w14:solidFill>
          </w14:textFill>
        </w:rPr>
        <w:t>Agreement</w:t>
      </w:r>
      <w:r>
        <w:rPr>
          <w:rFonts w:hint="eastAsia"/>
          <w:i/>
          <w:iCs/>
          <w:color w:val="000000" w:themeColor="text1"/>
          <w:sz w:val="20"/>
          <w:szCs w:val="20"/>
          <w:highlight w:val="green"/>
          <w:lang w:val="en-US" w:eastAsia="zh-CN"/>
          <w14:textFill>
            <w14:solidFill>
              <w14:schemeClr w14:val="tx1"/>
            </w14:solidFill>
          </w14:textFill>
        </w:rPr>
        <w:t xml:space="preserve"> from RAN</w:t>
      </w:r>
      <w:r>
        <w:rPr>
          <w:bCs/>
          <w:i/>
          <w:iCs/>
          <w:color w:val="000000" w:themeColor="text1"/>
          <w:sz w:val="20"/>
          <w:szCs w:val="20"/>
          <w:highlight w:val="green"/>
          <w14:textFill>
            <w14:solidFill>
              <w14:schemeClr w14:val="tx1"/>
            </w14:solidFill>
          </w14:textFill>
        </w:rPr>
        <w:t>4</w:t>
      </w:r>
      <w:r>
        <w:rPr>
          <w:rFonts w:hint="eastAsia"/>
          <w:bCs/>
          <w:i/>
          <w:iCs/>
          <w:color w:val="000000" w:themeColor="text1"/>
          <w:sz w:val="20"/>
          <w:szCs w:val="20"/>
          <w:highlight w:val="green"/>
          <w:lang w:val="en-US" w:eastAsia="zh-CN"/>
          <w14:textFill>
            <w14:solidFill>
              <w14:schemeClr w14:val="tx1"/>
            </w14:solidFill>
          </w14:textFill>
        </w:rPr>
        <w:t>#</w:t>
      </w:r>
      <w:r>
        <w:rPr>
          <w:bCs/>
          <w:i/>
          <w:iCs/>
          <w:color w:val="000000" w:themeColor="text1"/>
          <w:sz w:val="20"/>
          <w:szCs w:val="20"/>
          <w:highlight w:val="green"/>
          <w14:textFill>
            <w14:solidFill>
              <w14:schemeClr w14:val="tx1"/>
            </w14:solidFill>
          </w14:textFill>
        </w:rPr>
        <w:t>112bis</w:t>
      </w:r>
    </w:p>
    <w:p w14:paraId="4FB3B802">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bCs/>
          <w:i/>
          <w:iCs/>
          <w:color w:val="000000" w:themeColor="text1"/>
          <w:sz w:val="20"/>
          <w:szCs w:val="20"/>
          <w14:textFill>
            <w14:solidFill>
              <w14:schemeClr w14:val="tx1"/>
            </w14:solidFill>
          </w14:textFill>
        </w:rPr>
      </w:pPr>
      <w:r>
        <w:rPr>
          <w:bCs/>
          <w:i/>
          <w:iCs/>
          <w:color w:val="000000" w:themeColor="text1"/>
          <w:sz w:val="20"/>
          <w:szCs w:val="20"/>
          <w14:textFill>
            <w14:solidFill>
              <w14:schemeClr w14:val="tx1"/>
            </w14:solidFill>
          </w14:textFill>
        </w:rPr>
        <w:t>Measurement</w:t>
      </w:r>
      <w:r>
        <w:rPr>
          <w:rFonts w:hint="eastAsia"/>
          <w:bCs/>
          <w:i/>
          <w:iCs/>
          <w:color w:val="000000" w:themeColor="text1"/>
          <w:sz w:val="20"/>
          <w:szCs w:val="20"/>
          <w14:textFill>
            <w14:solidFill>
              <w14:schemeClr w14:val="tx1"/>
            </w14:solidFill>
          </w14:textFill>
        </w:rPr>
        <w:t xml:space="preserve"> </w:t>
      </w:r>
      <w:r>
        <w:rPr>
          <w:bCs/>
          <w:i/>
          <w:iCs/>
          <w:color w:val="000000" w:themeColor="text1"/>
          <w:sz w:val="20"/>
          <w:szCs w:val="20"/>
          <w14:textFill>
            <w14:solidFill>
              <w14:schemeClr w14:val="tx1"/>
            </w14:solidFill>
          </w14:textFill>
        </w:rPr>
        <w:t xml:space="preserve">delay </w:t>
      </w:r>
      <w:r>
        <w:rPr>
          <w:rFonts w:hint="eastAsia"/>
          <w:bCs/>
          <w:i/>
          <w:iCs/>
          <w:color w:val="000000" w:themeColor="text1"/>
          <w:sz w:val="20"/>
          <w:szCs w:val="20"/>
          <w14:textFill>
            <w14:solidFill>
              <w14:schemeClr w14:val="tx1"/>
            </w14:solidFill>
          </w14:textFill>
        </w:rPr>
        <w:t>requirement</w:t>
      </w:r>
      <w:r>
        <w:rPr>
          <w:bCs/>
          <w:i/>
          <w:iCs/>
          <w:color w:val="000000" w:themeColor="text1"/>
          <w:sz w:val="20"/>
          <w:szCs w:val="20"/>
          <w14:textFill>
            <w14:solidFill>
              <w14:schemeClr w14:val="tx1"/>
            </w14:solidFill>
          </w14:textFill>
        </w:rPr>
        <w:t>s for LP-WUR based on LP-SS in IDLE/Inactive mode shall be defined based on LP-SS periodicity.</w:t>
      </w:r>
    </w:p>
    <w:p w14:paraId="41C5A450">
      <w:pPr>
        <w:keepNext w:val="0"/>
        <w:keepLines w:val="0"/>
        <w:pageBreakBefore w:val="0"/>
        <w:widowControl/>
        <w:kinsoku/>
        <w:wordWrap/>
        <w:overflowPunct/>
        <w:topLinePunct w:val="0"/>
        <w:autoSpaceDE/>
        <w:autoSpaceDN/>
        <w:bidi w:val="0"/>
        <w:adjustRightInd/>
        <w:snapToGrid/>
        <w:spacing w:before="60" w:after="60"/>
        <w:textAlignment w:val="auto"/>
        <w:rPr>
          <w:rFonts w:hint="default" w:eastAsiaTheme="minorEastAsia"/>
          <w:i/>
          <w:iCs/>
          <w:color w:val="000000" w:themeColor="text1"/>
          <w:sz w:val="20"/>
          <w:szCs w:val="20"/>
          <w:highlight w:val="green"/>
          <w:lang w:val="en-US" w:eastAsia="zh-CN"/>
          <w14:textFill>
            <w14:solidFill>
              <w14:schemeClr w14:val="tx1"/>
            </w14:solidFill>
          </w14:textFill>
        </w:rPr>
      </w:pPr>
      <w:r>
        <w:rPr>
          <w:rFonts w:eastAsiaTheme="minorEastAsia"/>
          <w:i/>
          <w:iCs/>
          <w:color w:val="000000" w:themeColor="text1"/>
          <w:sz w:val="20"/>
          <w:szCs w:val="20"/>
          <w:highlight w:val="green"/>
          <w:lang w:val="en-US" w:eastAsia="zh-CN"/>
          <w14:textFill>
            <w14:solidFill>
              <w14:schemeClr w14:val="tx1"/>
            </w14:solidFill>
          </w14:textFill>
        </w:rPr>
        <w:t>Agreement</w:t>
      </w:r>
      <w:r>
        <w:rPr>
          <w:rFonts w:hint="eastAsia"/>
          <w:i/>
          <w:iCs/>
          <w:color w:val="000000" w:themeColor="text1"/>
          <w:sz w:val="20"/>
          <w:szCs w:val="20"/>
          <w:highlight w:val="green"/>
          <w:lang w:val="en-US" w:eastAsia="zh-CN"/>
          <w14:textFill>
            <w14:solidFill>
              <w14:schemeClr w14:val="tx1"/>
            </w14:solidFill>
          </w14:textFill>
        </w:rPr>
        <w:t xml:space="preserve"> from RAN1#120bis</w:t>
      </w:r>
    </w:p>
    <w:p w14:paraId="52524334">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i/>
          <w:iCs/>
          <w:sz w:val="20"/>
          <w:szCs w:val="20"/>
          <w:lang w:eastAsia="zh-CN"/>
        </w:rPr>
      </w:pPr>
      <w:r>
        <w:rPr>
          <w:i/>
          <w:iCs/>
          <w:sz w:val="20"/>
          <w:szCs w:val="20"/>
          <w:lang w:eastAsia="zh-CN"/>
        </w:rPr>
        <w:t>Regarding whether to support additional sync signal to LP-SS, support the following for LP-WUS with M=1, M=2:</w:t>
      </w:r>
    </w:p>
    <w:p w14:paraId="1FE5A265">
      <w:pPr>
        <w:keepNext w:val="0"/>
        <w:keepLines w:val="0"/>
        <w:pageBreakBefore w:val="0"/>
        <w:widowControl/>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微软雅黑"/>
          <w:bCs/>
          <w:i/>
          <w:iCs/>
          <w:color w:val="000000" w:themeColor="text1"/>
          <w:sz w:val="20"/>
          <w:szCs w:val="15"/>
          <w:lang w:eastAsia="zh-CN"/>
          <w14:textFill>
            <w14:solidFill>
              <w14:schemeClr w14:val="tx1"/>
            </w14:solidFill>
          </w14:textFill>
        </w:rPr>
      </w:pPr>
      <w:r>
        <w:rPr>
          <w:rFonts w:ascii="Times New Roman" w:hAnsi="Times New Roman" w:eastAsia="微软雅黑"/>
          <w:bCs/>
          <w:i/>
          <w:iCs/>
          <w:color w:val="000000" w:themeColor="text1"/>
          <w:sz w:val="20"/>
          <w:szCs w:val="15"/>
          <w:lang w:eastAsia="zh-CN"/>
          <w14:textFill>
            <w14:solidFill>
              <w14:schemeClr w14:val="tx1"/>
            </w14:solidFill>
          </w14:textFill>
        </w:rPr>
        <w:t>Option 1A: No additional sync signal, LP-SS periodicity =320ms</w:t>
      </w:r>
    </w:p>
    <w:p w14:paraId="17307E8B">
      <w:pPr>
        <w:keepNext w:val="0"/>
        <w:keepLines w:val="0"/>
        <w:pageBreakBefore w:val="0"/>
        <w:widowControl/>
        <w:numPr>
          <w:ilvl w:val="2"/>
          <w:numId w:val="7"/>
        </w:numPr>
        <w:kinsoku/>
        <w:wordWrap/>
        <w:overflowPunct/>
        <w:topLinePunct w:val="0"/>
        <w:autoSpaceDE/>
        <w:autoSpaceDN/>
        <w:bidi w:val="0"/>
        <w:adjustRightInd/>
        <w:snapToGrid/>
        <w:spacing w:before="60" w:after="60"/>
        <w:ind w:left="1353" w:leftChars="0" w:hanging="360" w:firstLineChars="0"/>
        <w:jc w:val="both"/>
        <w:textAlignment w:val="auto"/>
        <w:rPr>
          <w:rFonts w:ascii="Times New Roman" w:hAnsi="Times New Roman" w:eastAsia="微软雅黑"/>
          <w:bCs/>
          <w:i/>
          <w:iCs/>
          <w:color w:val="000000" w:themeColor="text1"/>
          <w:sz w:val="20"/>
          <w:szCs w:val="15"/>
          <w:lang w:eastAsia="zh-CN"/>
          <w14:textFill>
            <w14:solidFill>
              <w14:schemeClr w14:val="tx1"/>
            </w14:solidFill>
          </w14:textFill>
        </w:rPr>
      </w:pPr>
      <w:r>
        <w:rPr>
          <w:rFonts w:ascii="Times New Roman" w:hAnsi="Times New Roman" w:eastAsia="微软雅黑"/>
          <w:bCs/>
          <w:i/>
          <w:iCs/>
          <w:color w:val="000000" w:themeColor="text1"/>
          <w:sz w:val="20"/>
          <w:szCs w:val="15"/>
          <w:lang w:eastAsia="zh-CN"/>
          <w14:textFill>
            <w14:solidFill>
              <w14:schemeClr w14:val="tx1"/>
            </w14:solidFill>
          </w14:textFill>
        </w:rPr>
        <w:t>Additionally support LP-SS periodicity of 160ms</w:t>
      </w:r>
    </w:p>
    <w:p w14:paraId="5A7FBF24">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ascii="Times New Roman" w:hAnsi="Times New Roman" w:eastAsia="宋体" w:cs="Times New Roman"/>
          <w:b w:val="0"/>
          <w:bCs w:val="0"/>
          <w:sz w:val="20"/>
          <w:szCs w:val="20"/>
          <w:lang w:val="en-US" w:eastAsia="zh-CN"/>
        </w:rPr>
      </w:pPr>
      <w:r>
        <w:rPr>
          <w:rFonts w:hint="eastAsia" w:ascii="Times New Roman" w:hAnsi="Times New Roman" w:eastAsia="宋体" w:cs="Times New Roman"/>
          <w:b w:val="0"/>
          <w:bCs w:val="0"/>
          <w:sz w:val="20"/>
          <w:szCs w:val="20"/>
          <w:lang w:val="en-US" w:eastAsia="zh-CN"/>
        </w:rPr>
        <w:t>RAN1 has introduced additional LP-SS periodicity of 160ms for M=1 and M=2, target for sync performance.</w:t>
      </w:r>
    </w:p>
    <w:p w14:paraId="14482EA6">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Since anyway UE need to detect each LP-SS for sync, it can be also for measurement usage, no additional power consumption will be caused. Therefore, we think no lower bound is needed, the previous RAN4 agreement shall be upheld.</w:t>
      </w:r>
    </w:p>
    <w:p w14:paraId="203B417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Cs/>
          <w:i/>
          <w:iCs/>
          <w:color w:val="000000" w:themeColor="text1"/>
          <w:sz w:val="20"/>
          <w:szCs w:val="20"/>
          <w:lang w:val="en-US" w:eastAsia="zh-CN"/>
          <w14:textFill>
            <w14:solidFill>
              <w14:schemeClr w14:val="tx1"/>
            </w14:solidFill>
          </w14:textFill>
        </w:rPr>
      </w:pPr>
      <w:r>
        <w:rPr>
          <w:rFonts w:hint="eastAsia"/>
          <w:b/>
          <w:bCs/>
          <w:i/>
          <w:iCs/>
          <w:sz w:val="20"/>
          <w:szCs w:val="20"/>
          <w:lang w:val="en-US" w:eastAsia="zh-CN"/>
        </w:rPr>
        <w:t xml:space="preserve">Proposal 3: </w:t>
      </w:r>
      <w:r>
        <w:rPr>
          <w:rFonts w:hint="eastAsia"/>
          <w:b/>
          <w:bCs/>
          <w:i/>
          <w:iCs/>
          <w:color w:val="000000" w:themeColor="text1"/>
          <w:sz w:val="20"/>
          <w:szCs w:val="20"/>
          <w:lang w:val="en-US" w:eastAsia="zh-CN"/>
          <w14:textFill>
            <w14:solidFill>
              <w14:schemeClr w14:val="tx1"/>
            </w14:solidFill>
          </w14:textFill>
        </w:rPr>
        <w:t>Lower bound is not needed on top of LP-SS periodicity when define the measurement delay requirement.</w:t>
      </w:r>
    </w:p>
    <w:p w14:paraId="626787F5">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sz w:val="20"/>
          <w:szCs w:val="20"/>
          <w:u w:val="single"/>
          <w:lang w:eastAsia="ko-KR"/>
        </w:rPr>
      </w:pPr>
    </w:p>
    <w:p w14:paraId="10EE9799">
      <w:pPr>
        <w:keepNext w:val="0"/>
        <w:keepLines w:val="0"/>
        <w:pageBreakBefore w:val="0"/>
        <w:widowControl/>
        <w:kinsoku/>
        <w:wordWrap/>
        <w:overflowPunct/>
        <w:topLinePunct w:val="0"/>
        <w:autoSpaceDE/>
        <w:autoSpaceDN/>
        <w:bidi w:val="0"/>
        <w:adjustRightInd/>
        <w:spacing w:before="60" w:after="60"/>
        <w:textAlignment w:val="auto"/>
        <w:rPr>
          <w:b/>
          <w:i/>
          <w:iCs/>
          <w:color w:val="000000"/>
          <w:sz w:val="20"/>
          <w:szCs w:val="20"/>
          <w:u w:val="single"/>
          <w:lang w:eastAsia="ko-KR"/>
        </w:rPr>
      </w:pPr>
      <w:r>
        <w:rPr>
          <w:b/>
          <w:i/>
          <w:iCs/>
          <w:color w:val="000000"/>
          <w:sz w:val="20"/>
          <w:szCs w:val="20"/>
          <w:u w:val="single"/>
          <w:lang w:eastAsia="ko-KR"/>
        </w:rPr>
        <w:t xml:space="preserve">Issue 1-2-4-1: On LR measurement filtering requirement </w:t>
      </w:r>
    </w:p>
    <w:p w14:paraId="290CD257">
      <w:pPr>
        <w:keepNext w:val="0"/>
        <w:keepLines w:val="0"/>
        <w:pageBreakBefore w:val="0"/>
        <w:widowControl/>
        <w:kinsoku/>
        <w:wordWrap/>
        <w:overflowPunct/>
        <w:topLinePunct w:val="0"/>
        <w:autoSpaceDE/>
        <w:autoSpaceDN/>
        <w:bidi w:val="0"/>
        <w:adjustRightInd/>
        <w:snapToGrid w:val="0"/>
        <w:spacing w:before="60" w:after="60"/>
        <w:textAlignment w:val="auto"/>
        <w:rPr>
          <w:rFonts w:eastAsia="等线"/>
          <w:i/>
          <w:iCs/>
          <w:color w:val="000000"/>
          <w:sz w:val="20"/>
          <w:szCs w:val="20"/>
          <w:lang w:val="en-US" w:eastAsia="zh-CN"/>
        </w:rPr>
      </w:pPr>
      <w:r>
        <w:rPr>
          <w:rFonts w:eastAsia="等线"/>
          <w:i/>
          <w:iCs/>
          <w:color w:val="000000"/>
          <w:sz w:val="20"/>
          <w:szCs w:val="20"/>
          <w:lang w:val="en-US" w:eastAsia="zh-CN"/>
        </w:rPr>
        <w:t>Agreement:</w:t>
      </w:r>
    </w:p>
    <w:p w14:paraId="6BEE2C8B">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The UE shall filter the [</w:t>
      </w:r>
      <w:r>
        <w:rPr>
          <w:b/>
          <w:i/>
          <w:iCs/>
          <w:sz w:val="20"/>
          <w:szCs w:val="20"/>
        </w:rPr>
        <w:t>SS-RSRP and SS-RSRQ</w:t>
      </w:r>
      <w:r>
        <w:rPr>
          <w:i/>
          <w:iCs/>
          <w:sz w:val="20"/>
          <w:szCs w:val="20"/>
        </w:rPr>
        <w:t>] measurements of the serving cell using at least 2 measurements. Within the set of measurements used for the filtering, at least two measurements shall be spaced by [LO periodicity /2] for SSB based LR.</w:t>
      </w:r>
    </w:p>
    <w:p w14:paraId="3DBCF7A1">
      <w:pPr>
        <w:keepNext w:val="0"/>
        <w:keepLines w:val="0"/>
        <w:pageBreakBefore w:val="0"/>
        <w:widowControl/>
        <w:kinsoku/>
        <w:wordWrap/>
        <w:overflowPunct/>
        <w:topLinePunct w:val="0"/>
        <w:autoSpaceDE/>
        <w:autoSpaceDN/>
        <w:bidi w:val="0"/>
        <w:adjustRightIn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Recommendations:</w:t>
      </w:r>
    </w:p>
    <w:p w14:paraId="2F25F5BD">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Continue discuss on whether to define and how to define LP-SS based LR filtering requirements</w:t>
      </w:r>
    </w:p>
    <w:p w14:paraId="163D33C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First of all, UE shall also filter the LP-RSRP and LP-RSRQ measurement of serving cell using at least 2 measurements.</w:t>
      </w:r>
    </w:p>
    <w:p w14:paraId="4429BF8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Then, in legacy, since there are multiple SMTCs in one I-DRX cycle, to guarantee the filter gain, </w:t>
      </w:r>
      <w:bookmarkStart w:id="9" w:name="OLE_LINK9"/>
      <w:r>
        <w:rPr>
          <w:rFonts w:hint="eastAsia"/>
          <w:sz w:val="20"/>
          <w:szCs w:val="20"/>
          <w:lang w:val="en-US" w:eastAsia="zh-CN"/>
        </w:rPr>
        <w:t>two measurements shall be spaced by DRX cycle/2.</w:t>
      </w:r>
      <w:bookmarkEnd w:id="9"/>
      <w:r>
        <w:rPr>
          <w:rFonts w:hint="eastAsia"/>
          <w:sz w:val="20"/>
          <w:szCs w:val="20"/>
          <w:lang w:val="en-US" w:eastAsia="zh-CN"/>
        </w:rPr>
        <w:t xml:space="preserve"> However, for LP-SS measurement, the sampling period is LP-SS periodicity, and only one LP-SS resource in one LP-SS periodicity. Therefore, such filtering requirement is not needed.</w:t>
      </w:r>
    </w:p>
    <w:p w14:paraId="209A1976">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UE shall filter the LP-RSRP and LP-RSRQ measurement of serving cell using at least 2 measurements.</w:t>
      </w:r>
    </w:p>
    <w:p w14:paraId="65A013D8">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5: As long as the measurement delay requirement is defined based on LP-SS periodicity and no lower bound, no need to further define the filtering space for LP-RSRP and LP-RSRQ measurement.</w:t>
      </w:r>
    </w:p>
    <w:p w14:paraId="329A40CC">
      <w:pPr>
        <w:keepNext w:val="0"/>
        <w:keepLines w:val="0"/>
        <w:pageBreakBefore w:val="0"/>
        <w:widowControl/>
        <w:kinsoku/>
        <w:wordWrap/>
        <w:overflowPunct/>
        <w:topLinePunct w:val="0"/>
        <w:autoSpaceDE/>
        <w:autoSpaceDN/>
        <w:bidi w:val="0"/>
        <w:adjustRightInd/>
        <w:snapToGrid/>
        <w:spacing w:before="60" w:after="60"/>
        <w:textAlignment w:val="auto"/>
        <w:rPr>
          <w:rFonts w:hint="default"/>
          <w:b/>
          <w:color w:val="000000" w:themeColor="text1"/>
          <w:u w:val="single"/>
          <w:lang w:val="en-US" w:eastAsia="zh-CN"/>
          <w14:textFill>
            <w14:solidFill>
              <w14:schemeClr w14:val="tx1"/>
            </w14:solidFill>
          </w14:textFill>
        </w:rPr>
      </w:pPr>
    </w:p>
    <w:p w14:paraId="5F12ED9E">
      <w:pPr>
        <w:keepNext w:val="0"/>
        <w:keepLines w:val="0"/>
        <w:pageBreakBefore w:val="0"/>
        <w:widowControl/>
        <w:kinsoku/>
        <w:wordWrap/>
        <w:overflowPunct/>
        <w:topLinePunct w:val="0"/>
        <w:autoSpaceDE/>
        <w:autoSpaceDN/>
        <w:bidi w:val="0"/>
        <w:adjustRightInd/>
        <w:snapToGrid w:val="0"/>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1-2-6: </w:t>
      </w:r>
      <w:r>
        <w:rPr>
          <w:b/>
          <w:i/>
          <w:iCs/>
          <w:color w:val="000000" w:themeColor="text1"/>
          <w:sz w:val="20"/>
          <w:szCs w:val="20"/>
          <w:u w:val="single"/>
          <w:lang w:eastAsia="zh-CN"/>
          <w14:textFill>
            <w14:solidFill>
              <w14:schemeClr w14:val="tx1"/>
            </w14:solidFill>
          </w14:textFill>
        </w:rPr>
        <w:t xml:space="preserve">On </w:t>
      </w:r>
      <w:r>
        <w:rPr>
          <w:b/>
          <w:i/>
          <w:iCs/>
          <w:color w:val="000000" w:themeColor="text1"/>
          <w:sz w:val="20"/>
          <w:szCs w:val="20"/>
          <w:u w:val="single"/>
          <w:lang w:eastAsia="ko-KR"/>
          <w14:textFill>
            <w14:solidFill>
              <w14:schemeClr w14:val="tx1"/>
            </w14:solidFill>
          </w14:textFill>
        </w:rPr>
        <w:t>MR wake up delay related requirements for LP-WUR and RAN1 LS R1-2501624</w:t>
      </w:r>
    </w:p>
    <w:tbl>
      <w:tblPr>
        <w:tblStyle w:val="2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1"/>
      </w:tblGrid>
      <w:tr w14:paraId="7FED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1" w:type="dxa"/>
          </w:tcPr>
          <w:p w14:paraId="33FCA6E5">
            <w:pPr>
              <w:jc w:val="both"/>
              <w:rPr>
                <w:rFonts w:hint="default" w:ascii="Times New Roman" w:hAnsi="Times New Roman" w:cs="Times New Roman"/>
                <w:i/>
                <w:iCs/>
                <w:sz w:val="20"/>
                <w:szCs w:val="20"/>
              </w:rPr>
            </w:pPr>
            <w:r>
              <w:rPr>
                <w:rFonts w:hint="default" w:ascii="Times New Roman" w:hAnsi="Times New Roman" w:cs="Times New Roman"/>
                <w:i/>
                <w:iCs/>
                <w:sz w:val="20"/>
                <w:szCs w:val="20"/>
              </w:rPr>
              <w:t>In RAN1#118bis, it was agreed to support 3 candidate values for the wake-up delay capability a UE reports for LP-WUS operation in IDLE/INACTIVE mode. In addition, the following agreement was made in RAN1#120:</w:t>
            </w:r>
          </w:p>
          <w:p w14:paraId="0F601871">
            <w:pPr>
              <w:ind w:left="720"/>
              <w:rPr>
                <w:rFonts w:hint="default" w:ascii="Times New Roman" w:hAnsi="Times New Roman" w:cs="Times New Roman"/>
                <w:b/>
                <w:bCs/>
                <w:i/>
                <w:iCs/>
                <w:sz w:val="20"/>
                <w:szCs w:val="20"/>
                <w:highlight w:val="green"/>
              </w:rPr>
            </w:pPr>
            <w:r>
              <w:rPr>
                <w:rFonts w:hint="default" w:ascii="Times New Roman" w:hAnsi="Times New Roman" w:cs="Times New Roman"/>
                <w:b/>
                <w:bCs/>
                <w:i/>
                <w:iCs/>
                <w:sz w:val="20"/>
                <w:szCs w:val="20"/>
                <w:highlight w:val="green"/>
              </w:rPr>
              <w:t>Agreement</w:t>
            </w:r>
          </w:p>
          <w:p w14:paraId="7F5ED438">
            <w:pPr>
              <w:spacing w:after="0"/>
              <w:ind w:left="720"/>
              <w:jc w:val="both"/>
              <w:rPr>
                <w:rFonts w:hint="default" w:ascii="Times New Roman" w:hAnsi="Times New Roman" w:cs="Times New Roman"/>
                <w:i/>
                <w:iCs/>
                <w:sz w:val="20"/>
                <w:szCs w:val="20"/>
              </w:rPr>
            </w:pPr>
            <w:r>
              <w:rPr>
                <w:rFonts w:hint="default" w:ascii="Times New Roman" w:hAnsi="Times New Roman" w:cs="Times New Roman"/>
                <w:i/>
                <w:iCs/>
                <w:sz w:val="20"/>
                <w:szCs w:val="20"/>
              </w:rPr>
              <w:t>For UE capability report on the wake-up delay:</w:t>
            </w:r>
          </w:p>
          <w:p w14:paraId="61F3CC67">
            <w:pPr>
              <w:numPr>
                <w:ilvl w:val="0"/>
                <w:numId w:val="8"/>
              </w:numPr>
              <w:overflowPunct/>
              <w:autoSpaceDE/>
              <w:autoSpaceDN/>
              <w:adjustRightInd/>
              <w:spacing w:after="0"/>
              <w:ind w:left="1440"/>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Alt 1: For the 3 candidate values for the wake-up delay capability report, support {[70ms], [500ms] and [900ms]}.</w:t>
            </w:r>
          </w:p>
          <w:p w14:paraId="605441DC">
            <w:pPr>
              <w:numPr>
                <w:ilvl w:val="1"/>
                <w:numId w:val="8"/>
              </w:numPr>
              <w:overflowPunct/>
              <w:autoSpaceDE/>
              <w:autoSpaceDN/>
              <w:adjustRightInd/>
              <w:spacing w:after="0"/>
              <w:ind w:left="2160"/>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The reported values assume SSB periodicity of 20ms, where [70ms] assumes [3] SSBs needed for synchronization, [500ms] and [900ms] assume [5] SSBs needed for synchronization. </w:t>
            </w:r>
          </w:p>
          <w:p w14:paraId="15A14BE5">
            <w:pPr>
              <w:numPr>
                <w:ilvl w:val="1"/>
                <w:numId w:val="8"/>
              </w:numPr>
              <w:overflowPunct/>
              <w:autoSpaceDE/>
              <w:autoSpaceDN/>
              <w:adjustRightInd/>
              <w:spacing w:after="0"/>
              <w:ind w:left="2160"/>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FFS: translation of wake-up delay for different SSB periodicities</w:t>
            </w:r>
          </w:p>
          <w:p w14:paraId="57E263A5">
            <w:pPr>
              <w:numPr>
                <w:ilvl w:val="1"/>
                <w:numId w:val="8"/>
              </w:numPr>
              <w:overflowPunct/>
              <w:autoSpaceDE/>
              <w:autoSpaceDN/>
              <w:adjustRightInd/>
              <w:spacing w:after="0"/>
              <w:ind w:left="2160"/>
              <w:jc w:val="both"/>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FFS: different sets of 3 candidate value for different SSB periodicities</w:t>
            </w:r>
          </w:p>
          <w:p w14:paraId="1CF5E862">
            <w:pPr>
              <w:jc w:val="both"/>
              <w:rPr>
                <w:rFonts w:hint="default" w:ascii="Times New Roman" w:hAnsi="Times New Roman" w:cs="Times New Roman"/>
                <w:i/>
                <w:iCs/>
                <w:sz w:val="20"/>
                <w:szCs w:val="20"/>
              </w:rPr>
            </w:pPr>
          </w:p>
          <w:p w14:paraId="027CFF12">
            <w:pPr>
              <w:jc w:val="both"/>
              <w:rPr>
                <w:rFonts w:hint="default" w:ascii="Times New Roman" w:hAnsi="Times New Roman" w:cs="Times New Roman"/>
                <w:i/>
                <w:iCs/>
                <w:sz w:val="20"/>
                <w:szCs w:val="20"/>
              </w:rPr>
            </w:pPr>
            <w:r>
              <w:rPr>
                <w:rFonts w:hint="default" w:ascii="Times New Roman" w:hAnsi="Times New Roman" w:cs="Times New Roman"/>
                <w:i/>
                <w:iCs/>
                <w:sz w:val="20"/>
                <w:szCs w:val="20"/>
              </w:rPr>
              <w:t>Note that the definition of wake-up delay is the minimum gap time between LP-WUS reception and MR to start PDCCH monitoring.</w:t>
            </w:r>
          </w:p>
          <w:p w14:paraId="01DA4661">
            <w:pPr>
              <w:jc w:val="both"/>
              <w:rPr>
                <w:rFonts w:hint="default"/>
                <w:i w:val="0"/>
                <w:iCs w:val="0"/>
                <w:sz w:val="20"/>
                <w:szCs w:val="20"/>
                <w:vertAlign w:val="baseline"/>
                <w:lang w:val="en-US" w:eastAsia="zh-CN"/>
              </w:rPr>
            </w:pPr>
            <w:r>
              <w:rPr>
                <w:rFonts w:hint="default" w:ascii="Times New Roman" w:hAnsi="Times New Roman" w:cs="Times New Roman"/>
                <w:i/>
                <w:iCs/>
                <w:sz w:val="20"/>
                <w:szCs w:val="20"/>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c>
      </w:tr>
    </w:tbl>
    <w:p w14:paraId="7432B49D">
      <w:pPr>
        <w:keepNext w:val="0"/>
        <w:keepLines w:val="0"/>
        <w:pageBreakBefore w:val="0"/>
        <w:widowControl/>
        <w:kinsoku/>
        <w:wordWrap/>
        <w:overflowPunct/>
        <w:topLinePunct w:val="0"/>
        <w:autoSpaceDE/>
        <w:autoSpaceDN/>
        <w:bidi w:val="0"/>
        <w:adjustRightInd/>
        <w:snapToGrid w:val="0"/>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 xml:space="preserve">Issue 1-2-6-1: </w:t>
      </w:r>
      <w:r>
        <w:rPr>
          <w:b/>
          <w:i/>
          <w:iCs/>
          <w:color w:val="000000" w:themeColor="text1"/>
          <w:sz w:val="20"/>
          <w:szCs w:val="20"/>
          <w:u w:val="single"/>
          <w:lang w:eastAsia="zh-CN"/>
          <w14:textFill>
            <w14:solidFill>
              <w14:schemeClr w14:val="tx1"/>
            </w14:solidFill>
          </w14:textFill>
        </w:rPr>
        <w:t xml:space="preserve">On </w:t>
      </w:r>
      <w:r>
        <w:rPr>
          <w:b/>
          <w:i/>
          <w:iCs/>
          <w:color w:val="000000" w:themeColor="text1"/>
          <w:sz w:val="20"/>
          <w:szCs w:val="20"/>
          <w:u w:val="single"/>
          <w:lang w:eastAsia="ko-KR"/>
          <w14:textFill>
            <w14:solidFill>
              <w14:schemeClr w14:val="tx1"/>
            </w14:solidFill>
          </w14:textFill>
        </w:rPr>
        <w:t>the number of SSBs</w:t>
      </w:r>
    </w:p>
    <w:p w14:paraId="15C0ED73">
      <w:pPr>
        <w:keepNext w:val="0"/>
        <w:keepLines w:val="0"/>
        <w:pageBreakBefore w:val="0"/>
        <w:widowControl/>
        <w:kinsoku/>
        <w:wordWrap/>
        <w:overflowPunct/>
        <w:topLinePunct w:val="0"/>
        <w:autoSpaceDE/>
        <w:autoSpaceDN/>
        <w:bidi w:val="0"/>
        <w:adjustRightInd/>
        <w:snapToGrid w:val="0"/>
        <w:spacing w:before="60" w:after="6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 xml:space="preserve">Agreement: </w:t>
      </w:r>
    </w:p>
    <w:p w14:paraId="5847F2A7">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Aim to conclude the issue by Tuesday in RAN4 #115.</w:t>
      </w:r>
    </w:p>
    <w:p w14:paraId="7C720CC7">
      <w:pPr>
        <w:keepNext w:val="0"/>
        <w:keepLines w:val="0"/>
        <w:pageBreakBefore w:val="0"/>
        <w:widowControl/>
        <w:kinsoku/>
        <w:wordWrap/>
        <w:overflowPunct/>
        <w:topLinePunct w:val="0"/>
        <w:autoSpaceDE/>
        <w:autoSpaceDN/>
        <w:bidi w:val="0"/>
        <w:adjustRightInd/>
        <w:snapToGrid w:val="0"/>
        <w:spacing w:before="60" w:after="6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Recommendations:</w:t>
      </w:r>
    </w:p>
    <w:p w14:paraId="58297845">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 xml:space="preserve">For the number of samples and side conditions could consider:  </w:t>
      </w:r>
    </w:p>
    <w:p w14:paraId="3E612847">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1) determine the SSB number based on minimum number for AGC, timing etc., without link to any particular side conditions</w:t>
      </w:r>
    </w:p>
    <w:p w14:paraId="7FE5CB33">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2) determine the SSB number based on minimum number for AGC, timing etc., considering LR side condition.</w:t>
      </w:r>
    </w:p>
    <w:p w14:paraId="17BBFBB0">
      <w:pPr>
        <w:keepNext w:val="0"/>
        <w:keepLines w:val="0"/>
        <w:pageBreakBefore w:val="0"/>
        <w:widowControl/>
        <w:kinsoku/>
        <w:wordWrap/>
        <w:overflowPunct/>
        <w:topLinePunct w:val="0"/>
        <w:autoSpaceDE/>
        <w:autoSpaceDN/>
        <w:bidi w:val="0"/>
        <w:adjustRightIn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1-2-6-2: On SSBs number for different SSB periodicities</w:t>
      </w:r>
    </w:p>
    <w:p w14:paraId="21B353A6">
      <w:pPr>
        <w:keepNext w:val="0"/>
        <w:keepLines w:val="0"/>
        <w:pageBreakBefore w:val="0"/>
        <w:widowControl/>
        <w:kinsoku/>
        <w:wordWrap/>
        <w:overflowPunct/>
        <w:topLinePunct w:val="0"/>
        <w:autoSpaceDE/>
        <w:autoSpaceDN/>
        <w:bidi w:val="0"/>
        <w:adjustRightIn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Agreement</w:t>
      </w:r>
    </w:p>
    <w:p w14:paraId="779CD06E">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Same SSB number for different SSB periodicity </w:t>
      </w:r>
    </w:p>
    <w:p w14:paraId="367E6662">
      <w:pPr>
        <w:keepNext w:val="0"/>
        <w:keepLines w:val="0"/>
        <w:pageBreakBefore w:val="0"/>
        <w:widowControl/>
        <w:kinsoku/>
        <w:wordWrap/>
        <w:overflowPunct/>
        <w:topLinePunct w:val="0"/>
        <w:autoSpaceDE/>
        <w:autoSpaceDN/>
        <w:bidi w:val="0"/>
        <w:adjustRightIn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Agreement</w:t>
      </w:r>
    </w:p>
    <w:p w14:paraId="2A2A8BFA">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When SSB periodicity is 5 ms or 10ms, a lower bound 20 ms will be used for MR wake up delay. </w:t>
      </w:r>
    </w:p>
    <w:p w14:paraId="3D48CF83">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Note: This above agreement based on the assumption that the wake up duration is defined as the ramping time + SSB number * SSB periodicity</w:t>
      </w:r>
    </w:p>
    <w:p w14:paraId="7805A24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At least following two side conditions will impact the SSB number required for AGC and sync during wake-up.</w:t>
      </w:r>
    </w:p>
    <w:p w14:paraId="0DCDF5CC">
      <w:pPr>
        <w:keepNext w:val="0"/>
        <w:keepLines w:val="0"/>
        <w:pageBreakBefore w:val="0"/>
        <w:widowControl/>
        <w:numPr>
          <w:ilvl w:val="0"/>
          <w:numId w:val="9"/>
        </w:numPr>
        <w:kinsoku/>
        <w:wordWrap/>
        <w:overflowPunct/>
        <w:topLinePunct w:val="0"/>
        <w:autoSpaceDE/>
        <w:autoSpaceDN/>
        <w:bidi w:val="0"/>
        <w:adjustRightInd/>
        <w:snapToGrid/>
        <w:spacing w:before="60" w:after="60"/>
        <w:jc w:val="both"/>
        <w:textAlignment w:val="auto"/>
        <w:rPr>
          <w:rFonts w:hint="default"/>
          <w:i w:val="0"/>
          <w:iCs w:val="0"/>
          <w:sz w:val="20"/>
          <w:szCs w:val="20"/>
          <w:lang w:val="en-US" w:eastAsia="zh-CN"/>
        </w:rPr>
      </w:pPr>
      <w:r>
        <w:rPr>
          <w:sz w:val="20"/>
          <w:szCs w:val="20"/>
        </w:rPr>
        <w:t>Es/Iot</w:t>
      </w:r>
      <w:r>
        <w:rPr>
          <w:rFonts w:hint="eastAsia"/>
          <w:sz w:val="20"/>
          <w:szCs w:val="20"/>
          <w:lang w:val="en-US" w:eastAsia="zh-CN"/>
        </w:rPr>
        <w:t xml:space="preserve"> from MR side</w:t>
      </w:r>
      <w:r>
        <w:rPr>
          <w:rFonts w:hint="eastAsia"/>
          <w:i w:val="0"/>
          <w:iCs w:val="0"/>
          <w:sz w:val="20"/>
          <w:szCs w:val="20"/>
          <w:lang w:val="en-US" w:eastAsia="zh-CN"/>
        </w:rPr>
        <w:t xml:space="preserve"> </w:t>
      </w:r>
    </w:p>
    <w:p w14:paraId="1765F02C">
      <w:pPr>
        <w:keepNext w:val="0"/>
        <w:keepLines w:val="0"/>
        <w:pageBreakBefore w:val="0"/>
        <w:widowControl/>
        <w:numPr>
          <w:ilvl w:val="0"/>
          <w:numId w:val="9"/>
        </w:numPr>
        <w:kinsoku/>
        <w:wordWrap/>
        <w:overflowPunct/>
        <w:topLinePunct w:val="0"/>
        <w:autoSpaceDE/>
        <w:autoSpaceDN/>
        <w:bidi w:val="0"/>
        <w:adjustRightInd/>
        <w:snapToGrid/>
        <w:spacing w:before="60" w:after="60"/>
        <w:jc w:val="both"/>
        <w:textAlignment w:val="auto"/>
        <w:rPr>
          <w:rFonts w:hint="default"/>
          <w:i w:val="0"/>
          <w:iCs w:val="0"/>
          <w:sz w:val="20"/>
          <w:szCs w:val="20"/>
          <w:lang w:val="en-US" w:eastAsia="zh-CN"/>
        </w:rPr>
      </w:pPr>
      <w:r>
        <w:rPr>
          <w:rFonts w:hint="eastAsia"/>
          <w:i w:val="0"/>
          <w:iCs w:val="0"/>
          <w:sz w:val="20"/>
          <w:szCs w:val="20"/>
          <w:lang w:val="en-US" w:eastAsia="zh-CN"/>
        </w:rPr>
        <w:t xml:space="preserve">Whether LR could provide coarse time sync information for MR </w:t>
      </w:r>
    </w:p>
    <w:p w14:paraId="55D4F27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i w:val="0"/>
          <w:iCs w:val="0"/>
          <w:sz w:val="20"/>
          <w:szCs w:val="20"/>
          <w:lang w:val="en-US" w:eastAsia="zh-CN"/>
        </w:rPr>
      </w:pPr>
      <w:r>
        <w:rPr>
          <w:rFonts w:hint="eastAsia"/>
          <w:i w:val="0"/>
          <w:iCs w:val="0"/>
          <w:sz w:val="20"/>
          <w:szCs w:val="20"/>
          <w:lang w:val="en-US" w:eastAsia="zh-CN"/>
        </w:rPr>
        <w:t xml:space="preserve">For </w:t>
      </w:r>
      <w:r>
        <w:rPr>
          <w:sz w:val="20"/>
          <w:szCs w:val="20"/>
        </w:rPr>
        <w:t>Es/Iot</w:t>
      </w:r>
      <w:r>
        <w:rPr>
          <w:rFonts w:hint="eastAsia"/>
          <w:i w:val="0"/>
          <w:iCs w:val="0"/>
          <w:sz w:val="20"/>
          <w:szCs w:val="20"/>
          <w:lang w:val="en-US" w:eastAsia="zh-CN"/>
        </w:rPr>
        <w:t xml:space="preserve">, using -2dB from handover side condition as worst case is reasonable, and typically, when UE fulfill the LP-WUS monitoring entry condition, the </w:t>
      </w:r>
      <w:r>
        <w:rPr>
          <w:sz w:val="20"/>
          <w:szCs w:val="20"/>
        </w:rPr>
        <w:t>Es/Iot</w:t>
      </w:r>
      <w:r>
        <w:rPr>
          <w:rFonts w:hint="eastAsia"/>
          <w:sz w:val="20"/>
          <w:szCs w:val="20"/>
          <w:lang w:val="en-US" w:eastAsia="zh-CN"/>
        </w:rPr>
        <w:t xml:space="preserve"> of MR will be higher than -2dB in our point of view. </w:t>
      </w:r>
      <w:r>
        <w:rPr>
          <w:rFonts w:hint="eastAsia"/>
          <w:i w:val="0"/>
          <w:iCs w:val="0"/>
          <w:sz w:val="20"/>
          <w:szCs w:val="20"/>
          <w:lang w:val="en-US" w:eastAsia="zh-CN"/>
        </w:rPr>
        <w:t>In handover requirement, 1 SSB is needed for known case, and 4 SSBs are needed for unknown case.</w:t>
      </w:r>
    </w:p>
    <w:p w14:paraId="3AE54B3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For the rough sync information sharing between LR and MR, we think the worst case can be considered, that LR could not provide valid rough sync information for MR.</w:t>
      </w:r>
    </w:p>
    <w:p w14:paraId="71A37E4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i w:val="0"/>
          <w:iCs w:val="0"/>
          <w:sz w:val="20"/>
          <w:szCs w:val="20"/>
          <w:lang w:val="en-US" w:eastAsia="zh-CN"/>
        </w:rPr>
      </w:pPr>
      <w:r>
        <w:rPr>
          <w:rFonts w:hint="eastAsia"/>
          <w:i w:val="0"/>
          <w:iCs w:val="0"/>
          <w:sz w:val="20"/>
          <w:szCs w:val="20"/>
          <w:lang w:val="en-US" w:eastAsia="zh-CN"/>
        </w:rPr>
        <w:t>With above consideration, for UE to finish AGC and sync, we think 2 SSB samples are sufficient for deep sleep mode which similar as handover known case, and 4 SSB samples are sufficient for ultra-deep sleep mode which similar as handover unknown case.</w:t>
      </w:r>
    </w:p>
    <w:p w14:paraId="3088DF02">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vertAlign w:val="baseline"/>
          <w:lang w:val="en-US" w:eastAsia="zh-CN"/>
        </w:rPr>
      </w:pPr>
      <w:r>
        <w:rPr>
          <w:rFonts w:hint="eastAsia"/>
          <w:b/>
          <w:bCs/>
          <w:i/>
          <w:iCs/>
          <w:sz w:val="20"/>
          <w:szCs w:val="20"/>
          <w:lang w:val="en-US" w:eastAsia="zh-CN"/>
        </w:rPr>
        <w:t>Proposal 6: 2 samples for sync after UE woke up from deep sleep state and 4 samples for sync after UE woke up from ultra-deep sleep state.</w:t>
      </w:r>
    </w:p>
    <w:bookmarkEnd w:id="7"/>
    <w:p w14:paraId="43788F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A6A917">
      <w:pPr>
        <w:spacing w:before="60"/>
        <w:rPr>
          <w:sz w:val="20"/>
          <w:szCs w:val="20"/>
        </w:rPr>
      </w:pPr>
      <w:r>
        <w:rPr>
          <w:sz w:val="20"/>
          <w:szCs w:val="20"/>
        </w:rPr>
        <w:t>Based on the discussion above, the following</w:t>
      </w:r>
      <w:r>
        <w:rPr>
          <w:rFonts w:hint="eastAsia"/>
          <w:sz w:val="20"/>
          <w:szCs w:val="20"/>
          <w:lang w:val="en-US" w:eastAsia="zh-CN"/>
        </w:rPr>
        <w:t xml:space="preserve"> observation and </w:t>
      </w:r>
      <w:r>
        <w:rPr>
          <w:sz w:val="20"/>
          <w:szCs w:val="20"/>
        </w:rPr>
        <w:t xml:space="preserve">proposals are concluded. </w:t>
      </w:r>
      <w:bookmarkEnd w:id="5"/>
      <w:bookmarkEnd w:id="6"/>
    </w:p>
    <w:p w14:paraId="54EBC573">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 xml:space="preserve">Proposal 1: For Case 1, </w:t>
      </w:r>
      <w:r>
        <w:rPr>
          <w:b/>
          <w:bCs/>
          <w:i/>
          <w:iCs/>
          <w:sz w:val="20"/>
          <w:szCs w:val="20"/>
        </w:rPr>
        <w:t>UE shall search for inter-frequency</w:t>
      </w:r>
      <w:r>
        <w:rPr>
          <w:rFonts w:hint="eastAsia"/>
          <w:b/>
          <w:bCs/>
          <w:i/>
          <w:iCs/>
          <w:sz w:val="20"/>
          <w:szCs w:val="20"/>
          <w:lang w:val="en-US" w:eastAsia="zh-CN"/>
        </w:rPr>
        <w:t xml:space="preserve"> and inter-RAT</w:t>
      </w:r>
      <w:r>
        <w:rPr>
          <w:b/>
          <w:bCs/>
          <w:i/>
          <w:iCs/>
          <w:sz w:val="20"/>
          <w:szCs w:val="20"/>
        </w:rPr>
        <w:t xml:space="preserve"> layers of higher priority at least every K2*T</w:t>
      </w:r>
      <w:r>
        <w:rPr>
          <w:b/>
          <w:bCs/>
          <w:i/>
          <w:iCs/>
          <w:sz w:val="20"/>
          <w:szCs w:val="20"/>
          <w:vertAlign w:val="subscript"/>
        </w:rPr>
        <w:t xml:space="preserve">higher_priority_search </w:t>
      </w:r>
      <w:r>
        <w:rPr>
          <w:b/>
          <w:bCs/>
          <w:i/>
          <w:iCs/>
          <w:sz w:val="20"/>
          <w:szCs w:val="20"/>
        </w:rPr>
        <w:t>where T</w:t>
      </w:r>
      <w:r>
        <w:rPr>
          <w:b/>
          <w:bCs/>
          <w:i/>
          <w:iCs/>
          <w:sz w:val="20"/>
          <w:szCs w:val="20"/>
          <w:vertAlign w:val="subscript"/>
        </w:rPr>
        <w:t>higher_priority_search</w:t>
      </w:r>
      <w:r>
        <w:rPr>
          <w:b/>
          <w:bCs/>
          <w:i/>
          <w:iCs/>
          <w:sz w:val="20"/>
          <w:szCs w:val="20"/>
        </w:rPr>
        <w:t xml:space="preserve"> is (</w:t>
      </w:r>
      <w:r>
        <w:rPr>
          <w:b/>
          <w:bCs/>
          <w:i/>
          <w:iCs/>
          <w:sz w:val="20"/>
          <w:szCs w:val="20"/>
          <w:lang w:eastAsia="zh-CN"/>
        </w:rPr>
        <w:t>60</w:t>
      </w:r>
      <w:r>
        <w:rPr>
          <w:b/>
          <w:bCs/>
          <w:i/>
          <w:iCs/>
          <w:sz w:val="20"/>
          <w:szCs w:val="20"/>
        </w:rPr>
        <w:t xml:space="preserve"> * N</w:t>
      </w:r>
      <w:r>
        <w:rPr>
          <w:b/>
          <w:bCs/>
          <w:i/>
          <w:iCs/>
          <w:sz w:val="20"/>
          <w:szCs w:val="20"/>
          <w:vertAlign w:val="subscript"/>
        </w:rPr>
        <w:t>layers</w:t>
      </w:r>
      <w:r>
        <w:rPr>
          <w:b/>
          <w:bCs/>
          <w:i/>
          <w:iCs/>
          <w:sz w:val="20"/>
          <w:szCs w:val="20"/>
        </w:rPr>
        <w:t>) and K2=60</w:t>
      </w:r>
      <w:r>
        <w:rPr>
          <w:rFonts w:hint="eastAsia"/>
          <w:b/>
          <w:bCs/>
          <w:i/>
          <w:iCs/>
          <w:sz w:val="20"/>
          <w:szCs w:val="20"/>
          <w:lang w:val="en-US" w:eastAsia="zh-CN"/>
        </w:rPr>
        <w:t>.</w:t>
      </w:r>
    </w:p>
    <w:p w14:paraId="24F31F21">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val="0"/>
          <w:i/>
          <w:iCs/>
          <w:color w:val="000000" w:themeColor="text1"/>
          <w:sz w:val="20"/>
          <w:szCs w:val="20"/>
          <w:u w:val="none"/>
          <w:lang w:val="en-US" w:eastAsia="zh-CN"/>
          <w14:textFill>
            <w14:solidFill>
              <w14:schemeClr w14:val="tx1"/>
            </w14:solidFill>
          </w14:textFill>
        </w:rPr>
      </w:pPr>
      <w:r>
        <w:rPr>
          <w:rFonts w:hint="eastAsia"/>
          <w:b/>
          <w:bCs w:val="0"/>
          <w:i/>
          <w:iCs/>
          <w:color w:val="000000" w:themeColor="text1"/>
          <w:sz w:val="20"/>
          <w:szCs w:val="20"/>
          <w:u w:val="none"/>
          <w:lang w:val="en-US" w:eastAsia="zh-CN"/>
          <w14:textFill>
            <w14:solidFill>
              <w14:schemeClr w14:val="tx1"/>
            </w14:solidFill>
          </w14:textFill>
        </w:rPr>
        <w:t xml:space="preserve">Proposal 2: For Case 3, </w:t>
      </w:r>
    </w:p>
    <w:p w14:paraId="0096ADD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textAlignment w:val="auto"/>
        <w:rPr>
          <w:rFonts w:hint="default" w:ascii="Times New Roman" w:hAnsi="Times New Roman" w:cs="Times New Roman"/>
          <w:b/>
          <w:bCs w:val="0"/>
          <w:i/>
          <w:iCs/>
          <w:sz w:val="20"/>
          <w:szCs w:val="20"/>
          <w:u w:val="none"/>
        </w:rPr>
      </w:pPr>
      <w:r>
        <w:rPr>
          <w:rFonts w:hint="default" w:ascii="Times New Roman" w:hAnsi="Times New Roman" w:cs="Times New Roman"/>
          <w:b/>
          <w:bCs w:val="0"/>
          <w:i/>
          <w:iCs/>
          <w:sz w:val="20"/>
          <w:szCs w:val="20"/>
          <w:u w:val="none"/>
        </w:rPr>
        <w:t>If Srxlev &gt; S</w:t>
      </w:r>
      <w:r>
        <w:rPr>
          <w:rFonts w:hint="default" w:ascii="Times New Roman" w:hAnsi="Times New Roman" w:cs="Times New Roman"/>
          <w:b/>
          <w:bCs w:val="0"/>
          <w:i/>
          <w:iCs/>
          <w:sz w:val="20"/>
          <w:szCs w:val="20"/>
          <w:u w:val="none"/>
          <w:vertAlign w:val="subscript"/>
        </w:rPr>
        <w:t>nonIntraSearchP</w:t>
      </w:r>
      <w:r>
        <w:rPr>
          <w:rFonts w:hint="default" w:ascii="Times New Roman" w:hAnsi="Times New Roman" w:cs="Times New Roman"/>
          <w:b/>
          <w:bCs w:val="0"/>
          <w:i/>
          <w:iCs/>
          <w:sz w:val="20"/>
          <w:szCs w:val="20"/>
          <w:u w:val="none"/>
        </w:rPr>
        <w:t xml:space="preserve"> and Squal &gt; S</w:t>
      </w:r>
      <w:r>
        <w:rPr>
          <w:rFonts w:hint="default" w:ascii="Times New Roman" w:hAnsi="Times New Roman" w:cs="Times New Roman"/>
          <w:b/>
          <w:bCs w:val="0"/>
          <w:i/>
          <w:iCs/>
          <w:sz w:val="20"/>
          <w:szCs w:val="20"/>
          <w:u w:val="none"/>
          <w:vertAlign w:val="subscript"/>
        </w:rPr>
        <w:t>nonIntraSearchQ</w:t>
      </w:r>
      <w:r>
        <w:rPr>
          <w:rFonts w:hint="eastAsia" w:cs="Times New Roman"/>
          <w:b/>
          <w:bCs w:val="0"/>
          <w:i/>
          <w:iCs/>
          <w:sz w:val="20"/>
          <w:szCs w:val="20"/>
          <w:u w:val="none"/>
          <w:vertAlign w:val="baseline"/>
          <w:lang w:val="en-US" w:eastAsia="zh-CN"/>
        </w:rPr>
        <w:t>,</w:t>
      </w:r>
      <w:r>
        <w:rPr>
          <w:rFonts w:hint="default" w:ascii="Times New Roman" w:hAnsi="Times New Roman" w:cs="Times New Roman"/>
          <w:b/>
          <w:bCs w:val="0"/>
          <w:i/>
          <w:iCs/>
          <w:sz w:val="20"/>
          <w:szCs w:val="20"/>
          <w:u w:val="none"/>
        </w:rPr>
        <w:t xml:space="preserve"> then the UE shall search for inter-frequency layers of higher priority at least every </w:t>
      </w:r>
      <w:r>
        <w:rPr>
          <w:rFonts w:hint="eastAsia" w:cs="Times New Roman"/>
          <w:b/>
          <w:bCs w:val="0"/>
          <w:i/>
          <w:iCs/>
          <w:sz w:val="20"/>
          <w:szCs w:val="20"/>
          <w:u w:val="none"/>
          <w:lang w:val="en-US" w:eastAsia="zh-CN"/>
        </w:rPr>
        <w:t xml:space="preserve">16 * </w:t>
      </w:r>
      <w:r>
        <w:rPr>
          <w:rFonts w:hint="default" w:ascii="Times New Roman" w:hAnsi="Times New Roman" w:cs="Times New Roman"/>
          <w:b/>
          <w:bCs w:val="0"/>
          <w:i/>
          <w:iCs/>
          <w:sz w:val="20"/>
          <w:szCs w:val="20"/>
          <w:u w:val="none"/>
        </w:rPr>
        <w:t>T</w:t>
      </w:r>
      <w:r>
        <w:rPr>
          <w:rFonts w:hint="default" w:ascii="Times New Roman" w:hAnsi="Times New Roman" w:cs="Times New Roman"/>
          <w:b/>
          <w:bCs w:val="0"/>
          <w:i/>
          <w:iCs/>
          <w:sz w:val="20"/>
          <w:szCs w:val="20"/>
          <w:u w:val="none"/>
          <w:vertAlign w:val="subscript"/>
        </w:rPr>
        <w:t>higher_priority_search</w:t>
      </w:r>
      <w:r>
        <w:rPr>
          <w:rFonts w:hint="eastAsia" w:cs="Times New Roman"/>
          <w:b/>
          <w:bCs w:val="0"/>
          <w:i/>
          <w:iCs/>
          <w:sz w:val="20"/>
          <w:szCs w:val="20"/>
          <w:u w:val="none"/>
          <w:vertAlign w:val="baseline"/>
          <w:lang w:val="en-US" w:eastAsia="zh-CN"/>
        </w:rPr>
        <w:t xml:space="preserve">, </w:t>
      </w:r>
      <w:r>
        <w:rPr>
          <w:b/>
          <w:bCs w:val="0"/>
          <w:i/>
          <w:iCs/>
          <w:sz w:val="20"/>
          <w:szCs w:val="20"/>
          <w:u w:val="none"/>
        </w:rPr>
        <w:t>where T</w:t>
      </w:r>
      <w:r>
        <w:rPr>
          <w:b/>
          <w:bCs w:val="0"/>
          <w:i/>
          <w:iCs/>
          <w:sz w:val="20"/>
          <w:szCs w:val="20"/>
          <w:u w:val="none"/>
          <w:vertAlign w:val="subscript"/>
        </w:rPr>
        <w:t>higher_priority_search</w:t>
      </w:r>
      <w:r>
        <w:rPr>
          <w:b/>
          <w:bCs w:val="0"/>
          <w:i/>
          <w:iCs/>
          <w:sz w:val="20"/>
          <w:szCs w:val="20"/>
          <w:u w:val="none"/>
        </w:rPr>
        <w:t xml:space="preserve"> is (</w:t>
      </w:r>
      <w:r>
        <w:rPr>
          <w:b/>
          <w:bCs w:val="0"/>
          <w:i/>
          <w:iCs/>
          <w:sz w:val="20"/>
          <w:szCs w:val="20"/>
          <w:u w:val="none"/>
          <w:lang w:eastAsia="zh-CN"/>
        </w:rPr>
        <w:t>60</w:t>
      </w:r>
      <w:r>
        <w:rPr>
          <w:b/>
          <w:bCs w:val="0"/>
          <w:i/>
          <w:iCs/>
          <w:sz w:val="20"/>
          <w:szCs w:val="20"/>
          <w:u w:val="none"/>
        </w:rPr>
        <w:t xml:space="preserve"> * N</w:t>
      </w:r>
      <w:r>
        <w:rPr>
          <w:b/>
          <w:bCs w:val="0"/>
          <w:i/>
          <w:iCs/>
          <w:sz w:val="20"/>
          <w:szCs w:val="20"/>
          <w:u w:val="none"/>
          <w:vertAlign w:val="subscript"/>
        </w:rPr>
        <w:t>layers</w:t>
      </w:r>
      <w:r>
        <w:rPr>
          <w:b/>
          <w:bCs w:val="0"/>
          <w:i/>
          <w:iCs/>
          <w:sz w:val="20"/>
          <w:szCs w:val="20"/>
          <w:u w:val="none"/>
        </w:rPr>
        <w:t>)</w:t>
      </w:r>
    </w:p>
    <w:p w14:paraId="4BBB6BE9">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default"/>
          <w:b/>
          <w:bCs w:val="0"/>
          <w:i/>
          <w:iCs/>
          <w:sz w:val="20"/>
          <w:szCs w:val="20"/>
          <w:u w:val="none"/>
          <w:lang w:val="en-US" w:eastAsia="zh-CN"/>
        </w:rPr>
      </w:pPr>
      <w:r>
        <w:rPr>
          <w:rFonts w:hint="default" w:ascii="Times New Roman" w:hAnsi="Times New Roman" w:eastAsia="Malgun Gothic" w:cs="Times New Roman"/>
          <w:b/>
          <w:bCs w:val="0"/>
          <w:i/>
          <w:iCs/>
          <w:sz w:val="20"/>
          <w:szCs w:val="20"/>
          <w:u w:val="none"/>
        </w:rPr>
        <w:t xml:space="preserve">If Srxlev </w:t>
      </w:r>
      <w:r>
        <w:rPr>
          <w:rFonts w:hint="default" w:ascii="Times New Roman" w:hAnsi="Times New Roman" w:eastAsia="Malgun Gothic" w:cs="Times New Roman"/>
          <w:b/>
          <w:bCs w:val="0"/>
          <w:i/>
          <w:iCs/>
          <w:sz w:val="20"/>
          <w:szCs w:val="20"/>
          <w:u w:val="none"/>
          <w:lang w:val="en-US"/>
        </w:rPr>
        <w:t>≤</w:t>
      </w:r>
      <w:r>
        <w:rPr>
          <w:rFonts w:hint="default" w:ascii="Times New Roman" w:hAnsi="Times New Roman" w:eastAsia="Malgun Gothic" w:cs="Times New Roman"/>
          <w:b/>
          <w:bCs w:val="0"/>
          <w:i/>
          <w:iCs/>
          <w:sz w:val="20"/>
          <w:szCs w:val="20"/>
          <w:u w:val="none"/>
        </w:rPr>
        <w:t xml:space="preserve"> S</w:t>
      </w:r>
      <w:r>
        <w:rPr>
          <w:rFonts w:hint="default" w:ascii="Times New Roman" w:hAnsi="Times New Roman" w:eastAsia="Malgun Gothic" w:cs="Times New Roman"/>
          <w:b/>
          <w:bCs w:val="0"/>
          <w:i/>
          <w:iCs/>
          <w:sz w:val="20"/>
          <w:szCs w:val="20"/>
          <w:u w:val="none"/>
          <w:vertAlign w:val="subscript"/>
        </w:rPr>
        <w:t>nonIntraSearchP</w:t>
      </w:r>
      <w:r>
        <w:rPr>
          <w:rFonts w:hint="default" w:ascii="Times New Roman" w:hAnsi="Times New Roman" w:eastAsia="Malgun Gothic" w:cs="Times New Roman"/>
          <w:b/>
          <w:bCs w:val="0"/>
          <w:i/>
          <w:iCs/>
          <w:sz w:val="20"/>
          <w:szCs w:val="20"/>
          <w:u w:val="none"/>
        </w:rPr>
        <w:t xml:space="preserve"> or Squal </w:t>
      </w:r>
      <w:r>
        <w:rPr>
          <w:rFonts w:hint="default" w:ascii="Times New Roman" w:hAnsi="Times New Roman" w:eastAsia="Malgun Gothic" w:cs="Times New Roman"/>
          <w:b/>
          <w:bCs w:val="0"/>
          <w:i/>
          <w:iCs/>
          <w:sz w:val="20"/>
          <w:szCs w:val="20"/>
          <w:u w:val="none"/>
          <w:lang w:val="en-US"/>
        </w:rPr>
        <w:t>≤</w:t>
      </w:r>
      <w:r>
        <w:rPr>
          <w:rFonts w:hint="default" w:ascii="Times New Roman" w:hAnsi="Times New Roman" w:eastAsia="Malgun Gothic" w:cs="Times New Roman"/>
          <w:b/>
          <w:bCs w:val="0"/>
          <w:i/>
          <w:iCs/>
          <w:sz w:val="20"/>
          <w:szCs w:val="20"/>
          <w:u w:val="none"/>
        </w:rPr>
        <w:t xml:space="preserve"> S</w:t>
      </w:r>
      <w:r>
        <w:rPr>
          <w:rFonts w:hint="default" w:ascii="Times New Roman" w:hAnsi="Times New Roman" w:eastAsia="Malgun Gothic" w:cs="Times New Roman"/>
          <w:b/>
          <w:bCs w:val="0"/>
          <w:i/>
          <w:iCs/>
          <w:sz w:val="20"/>
          <w:szCs w:val="20"/>
          <w:u w:val="none"/>
          <w:vertAlign w:val="subscript"/>
        </w:rPr>
        <w:t>nonIntraSearchQ</w:t>
      </w:r>
      <w:r>
        <w:rPr>
          <w:rFonts w:hint="eastAsia" w:cs="Times New Roman"/>
          <w:b/>
          <w:bCs w:val="0"/>
          <w:i/>
          <w:iCs/>
          <w:sz w:val="20"/>
          <w:szCs w:val="20"/>
          <w:u w:val="none"/>
          <w:vertAlign w:val="baseline"/>
          <w:lang w:val="en-US" w:eastAsia="zh-CN"/>
        </w:rPr>
        <w:t>,</w:t>
      </w:r>
      <w:r>
        <w:rPr>
          <w:rFonts w:hint="default" w:ascii="Times New Roman" w:hAnsi="Times New Roman" w:eastAsia="Malgun Gothic" w:cs="Times New Roman"/>
          <w:b/>
          <w:bCs w:val="0"/>
          <w:i/>
          <w:iCs/>
          <w:sz w:val="20"/>
          <w:szCs w:val="20"/>
          <w:u w:val="none"/>
        </w:rPr>
        <w:t xml:space="preserve"> then the UE shall search for and measure inter-frequency layers of higher priority </w:t>
      </w:r>
      <w:r>
        <w:rPr>
          <w:rFonts w:hint="default" w:ascii="Times New Roman" w:hAnsi="Times New Roman" w:eastAsia="宋体" w:cs="Times New Roman"/>
          <w:b/>
          <w:bCs w:val="0"/>
          <w:i/>
          <w:iCs/>
          <w:sz w:val="20"/>
          <w:szCs w:val="20"/>
          <w:u w:val="none"/>
          <w:lang w:val="en-US" w:eastAsia="zh-CN"/>
        </w:rPr>
        <w:t xml:space="preserve">at least </w:t>
      </w:r>
      <w:r>
        <w:rPr>
          <w:rFonts w:hint="default" w:ascii="Times New Roman" w:hAnsi="Times New Roman" w:eastAsia="Malgun Gothic" w:cs="Times New Roman"/>
          <w:b/>
          <w:bCs w:val="0"/>
          <w:i/>
          <w:iCs/>
          <w:sz w:val="20"/>
          <w:szCs w:val="20"/>
          <w:u w:val="none"/>
        </w:rPr>
        <w:t>T</w:t>
      </w:r>
      <w:r>
        <w:rPr>
          <w:rFonts w:hint="default" w:ascii="Times New Roman" w:hAnsi="Times New Roman" w:eastAsia="Malgun Gothic" w:cs="Times New Roman"/>
          <w:b/>
          <w:bCs w:val="0"/>
          <w:i/>
          <w:iCs/>
          <w:sz w:val="20"/>
          <w:szCs w:val="20"/>
          <w:u w:val="none"/>
          <w:vertAlign w:val="subscript"/>
        </w:rPr>
        <w:t>detect,NR_Inter,</w:t>
      </w:r>
      <w:r>
        <w:rPr>
          <w:rFonts w:hint="default" w:ascii="Times New Roman" w:hAnsi="Times New Roman" w:eastAsia="Malgun Gothic" w:cs="Times New Roman"/>
          <w:b/>
          <w:bCs w:val="0"/>
          <w:i/>
          <w:iCs/>
          <w:sz w:val="20"/>
          <w:szCs w:val="20"/>
          <w:u w:val="none"/>
        </w:rPr>
        <w:t xml:space="preserve"> T</w:t>
      </w:r>
      <w:r>
        <w:rPr>
          <w:rFonts w:hint="default" w:ascii="Times New Roman" w:hAnsi="Times New Roman" w:eastAsia="Malgun Gothic" w:cs="Times New Roman"/>
          <w:b/>
          <w:bCs w:val="0"/>
          <w:i/>
          <w:iCs/>
          <w:sz w:val="20"/>
          <w:szCs w:val="20"/>
          <w:u w:val="none"/>
          <w:vertAlign w:val="subscript"/>
        </w:rPr>
        <w:t>measure,NR_Inter</w:t>
      </w:r>
      <w:r>
        <w:rPr>
          <w:rFonts w:hint="default" w:ascii="Times New Roman" w:hAnsi="Times New Roman" w:eastAsia="Malgun Gothic" w:cs="Times New Roman"/>
          <w:b/>
          <w:bCs w:val="0"/>
          <w:i/>
          <w:iCs/>
          <w:sz w:val="20"/>
          <w:szCs w:val="20"/>
          <w:u w:val="none"/>
        </w:rPr>
        <w:t xml:space="preserve"> and T</w:t>
      </w:r>
      <w:r>
        <w:rPr>
          <w:rFonts w:hint="default" w:ascii="Times New Roman" w:hAnsi="Times New Roman" w:eastAsia="Malgun Gothic" w:cs="Times New Roman"/>
          <w:b/>
          <w:bCs w:val="0"/>
          <w:i/>
          <w:iCs/>
          <w:sz w:val="20"/>
          <w:szCs w:val="20"/>
          <w:u w:val="none"/>
          <w:vertAlign w:val="subscript"/>
        </w:rPr>
        <w:t>evaluate,NR_Inter</w:t>
      </w:r>
      <w:r>
        <w:rPr>
          <w:rFonts w:hint="eastAsia" w:eastAsia="宋体" w:cs="Times New Roman"/>
          <w:b/>
          <w:bCs w:val="0"/>
          <w:i/>
          <w:iCs/>
          <w:sz w:val="20"/>
          <w:szCs w:val="20"/>
          <w:u w:val="none"/>
          <w:vertAlign w:val="baseline"/>
          <w:lang w:val="en-US" w:eastAsia="zh-CN"/>
        </w:rPr>
        <w:t xml:space="preserve"> with scaling factor 16</w:t>
      </w:r>
      <w:r>
        <w:rPr>
          <w:rFonts w:hint="default" w:ascii="Times New Roman" w:hAnsi="Times New Roman" w:eastAsia="Malgun Gothic" w:cs="Times New Roman"/>
          <w:b/>
          <w:bCs w:val="0"/>
          <w:i/>
          <w:iCs/>
          <w:sz w:val="20"/>
          <w:szCs w:val="20"/>
          <w:u w:val="none"/>
        </w:rPr>
        <w:t>.</w:t>
      </w:r>
    </w:p>
    <w:p w14:paraId="2ED321C1">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Cs/>
          <w:i/>
          <w:iCs/>
          <w:color w:val="000000" w:themeColor="text1"/>
          <w:sz w:val="20"/>
          <w:szCs w:val="20"/>
          <w:lang w:val="en-US" w:eastAsia="zh-CN"/>
          <w14:textFill>
            <w14:solidFill>
              <w14:schemeClr w14:val="tx1"/>
            </w14:solidFill>
          </w14:textFill>
        </w:rPr>
      </w:pPr>
      <w:r>
        <w:rPr>
          <w:rFonts w:hint="eastAsia"/>
          <w:b/>
          <w:bCs/>
          <w:i/>
          <w:iCs/>
          <w:sz w:val="20"/>
          <w:szCs w:val="20"/>
          <w:lang w:val="en-US" w:eastAsia="zh-CN"/>
        </w:rPr>
        <w:t xml:space="preserve">Proposal 3: </w:t>
      </w:r>
      <w:r>
        <w:rPr>
          <w:rFonts w:hint="eastAsia"/>
          <w:b/>
          <w:bCs/>
          <w:i/>
          <w:iCs/>
          <w:color w:val="000000" w:themeColor="text1"/>
          <w:sz w:val="20"/>
          <w:szCs w:val="20"/>
          <w:lang w:val="en-US" w:eastAsia="zh-CN"/>
          <w14:textFill>
            <w14:solidFill>
              <w14:schemeClr w14:val="tx1"/>
            </w14:solidFill>
          </w14:textFill>
        </w:rPr>
        <w:t>Lower bound is not needed on top of LP-SS periodicity when define the measurement delay requirement.</w:t>
      </w:r>
    </w:p>
    <w:p w14:paraId="4F6DB661">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UE shall filter the LP-RSRP and LP-RSRQ measurement of serving cell using at least 2 measurements.</w:t>
      </w:r>
    </w:p>
    <w:p w14:paraId="1DAACEDC">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5: As long as the measurement delay requirement is defined based on LP-SS periodicity and no lower bound, no need to further define the filtering space for LP-RSRP and LP-RSRQ measurement.</w:t>
      </w:r>
    </w:p>
    <w:p w14:paraId="68F4192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bCs/>
          <w:i/>
          <w:iCs/>
          <w:sz w:val="20"/>
          <w:szCs w:val="20"/>
          <w:vertAlign w:val="baseline"/>
          <w:lang w:val="en-US" w:eastAsia="zh-CN"/>
        </w:rPr>
      </w:pPr>
      <w:r>
        <w:rPr>
          <w:rFonts w:hint="eastAsia"/>
          <w:b/>
          <w:bCs/>
          <w:i/>
          <w:iCs/>
          <w:sz w:val="20"/>
          <w:szCs w:val="20"/>
          <w:lang w:val="en-US" w:eastAsia="zh-CN"/>
        </w:rPr>
        <w:t>Proposal 6: 2 samples for sync after UE woke up from deep sleep state and 4 samples for sync after UE woke up from ultra-deep sleep state.</w:t>
      </w:r>
    </w:p>
    <w:p w14:paraId="0D844223">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CAEB6F9">
      <w:pPr>
        <w:numPr>
          <w:ilvl w:val="0"/>
          <w:numId w:val="10"/>
        </w:numPr>
        <w:rPr>
          <w:rFonts w:hint="default"/>
          <w:sz w:val="20"/>
          <w:szCs w:val="20"/>
          <w:lang w:val="en-US" w:eastAsia="zh-CN"/>
        </w:rPr>
      </w:pPr>
      <w:r>
        <w:rPr>
          <w:rFonts w:hint="eastAsia"/>
          <w:sz w:val="20"/>
          <w:szCs w:val="20"/>
          <w:lang w:val="en-GB"/>
        </w:rPr>
        <w:t>R4-2</w:t>
      </w:r>
      <w:r>
        <w:rPr>
          <w:rFonts w:hint="eastAsia"/>
          <w:sz w:val="20"/>
          <w:szCs w:val="20"/>
          <w:lang w:val="en-US" w:eastAsia="zh-CN"/>
        </w:rPr>
        <w:t>504908, WF on RRM requirements for NR_LPWUS, Moderator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2160D"/>
    <w:multiLevelType w:val="singleLevel"/>
    <w:tmpl w:val="88B2160D"/>
    <w:lvl w:ilvl="0" w:tentative="0">
      <w:start w:val="1"/>
      <w:numFmt w:val="decimal"/>
      <w:suff w:val="space"/>
      <w:lvlText w:val="%1."/>
      <w:lvlJc w:val="left"/>
    </w:lvl>
  </w:abstractNum>
  <w:abstractNum w:abstractNumId="1">
    <w:nsid w:val="9034B465"/>
    <w:multiLevelType w:val="singleLevel"/>
    <w:tmpl w:val="9034B46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1353"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5C85C9A"/>
    <w:multiLevelType w:val="singleLevel"/>
    <w:tmpl w:val="65C85C9A"/>
    <w:lvl w:ilvl="0" w:tentative="0">
      <w:start w:val="1"/>
      <w:numFmt w:val="decimal"/>
      <w:suff w:val="space"/>
      <w:lvlText w:val="[%1]"/>
      <w:lvlJc w:val="left"/>
    </w:lvl>
  </w:abstractNum>
  <w:abstractNum w:abstractNumId="7">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0146DC0"/>
    <w:multiLevelType w:val="multilevel"/>
    <w:tmpl w:val="70146DC0"/>
    <w:lvl w:ilvl="0" w:tentative="0">
      <w:start w:val="1"/>
      <w:numFmt w:val="bullet"/>
      <w:pStyle w:val="88"/>
      <w:lvlText w:val=""/>
      <w:lvlJc w:val="left"/>
      <w:pPr>
        <w:tabs>
          <w:tab w:val="left" w:pos="359"/>
        </w:tabs>
        <w:ind w:left="359" w:hanging="360"/>
      </w:pPr>
      <w:rPr>
        <w:rFonts w:hint="default" w:ascii="Symbol" w:hAnsi="Symbol"/>
        <w:b/>
        <w:i w:val="0"/>
        <w:strike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7"/>
  </w:num>
  <w:num w:numId="3">
    <w:abstractNumId w:val="8"/>
  </w:num>
  <w:num w:numId="4">
    <w:abstractNumId w:val="2"/>
  </w:num>
  <w:num w:numId="5">
    <w:abstractNumId w:val="4"/>
  </w:num>
  <w:num w:numId="6">
    <w:abstractNumId w:val="1"/>
  </w:num>
  <w:num w:numId="7">
    <w:abstractNumId w:val="5"/>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EE5"/>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21E"/>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18558CB"/>
    <w:rsid w:val="026553AD"/>
    <w:rsid w:val="0356125E"/>
    <w:rsid w:val="038D13C7"/>
    <w:rsid w:val="03A65E3F"/>
    <w:rsid w:val="03E33755"/>
    <w:rsid w:val="043A58AB"/>
    <w:rsid w:val="048A1C70"/>
    <w:rsid w:val="049C3AD5"/>
    <w:rsid w:val="04AF3E80"/>
    <w:rsid w:val="0539666D"/>
    <w:rsid w:val="061F6C01"/>
    <w:rsid w:val="0620091D"/>
    <w:rsid w:val="062F62AF"/>
    <w:rsid w:val="06CA7932"/>
    <w:rsid w:val="06DF7A57"/>
    <w:rsid w:val="070002A7"/>
    <w:rsid w:val="077C1411"/>
    <w:rsid w:val="07EB7BAC"/>
    <w:rsid w:val="081B2752"/>
    <w:rsid w:val="081F0DE8"/>
    <w:rsid w:val="082A02ED"/>
    <w:rsid w:val="087C4EF9"/>
    <w:rsid w:val="08F513F3"/>
    <w:rsid w:val="094224A1"/>
    <w:rsid w:val="09461324"/>
    <w:rsid w:val="099B54B4"/>
    <w:rsid w:val="09F303AF"/>
    <w:rsid w:val="0A131663"/>
    <w:rsid w:val="0A3B0786"/>
    <w:rsid w:val="0A405571"/>
    <w:rsid w:val="0A817EA7"/>
    <w:rsid w:val="0B123BC4"/>
    <w:rsid w:val="0B48567B"/>
    <w:rsid w:val="0C031150"/>
    <w:rsid w:val="0C7C0C8C"/>
    <w:rsid w:val="0CDB618D"/>
    <w:rsid w:val="0E0F2590"/>
    <w:rsid w:val="0E40223A"/>
    <w:rsid w:val="0EE74838"/>
    <w:rsid w:val="10001E3A"/>
    <w:rsid w:val="106F4ED8"/>
    <w:rsid w:val="10B71902"/>
    <w:rsid w:val="10D8402D"/>
    <w:rsid w:val="114C271A"/>
    <w:rsid w:val="11677F10"/>
    <w:rsid w:val="11BB3910"/>
    <w:rsid w:val="11DB5276"/>
    <w:rsid w:val="11E7300D"/>
    <w:rsid w:val="121769BF"/>
    <w:rsid w:val="12A40DAF"/>
    <w:rsid w:val="132C5366"/>
    <w:rsid w:val="133D6DD2"/>
    <w:rsid w:val="1357122A"/>
    <w:rsid w:val="13755ED0"/>
    <w:rsid w:val="14095135"/>
    <w:rsid w:val="148F49ED"/>
    <w:rsid w:val="14B33B02"/>
    <w:rsid w:val="14F41582"/>
    <w:rsid w:val="15684BB0"/>
    <w:rsid w:val="157022BE"/>
    <w:rsid w:val="15F40D56"/>
    <w:rsid w:val="16E01E1A"/>
    <w:rsid w:val="17173A55"/>
    <w:rsid w:val="1744345F"/>
    <w:rsid w:val="175E2757"/>
    <w:rsid w:val="1769421D"/>
    <w:rsid w:val="179A47FF"/>
    <w:rsid w:val="180401FA"/>
    <w:rsid w:val="180A4855"/>
    <w:rsid w:val="18605EA3"/>
    <w:rsid w:val="195448E3"/>
    <w:rsid w:val="19A85AA6"/>
    <w:rsid w:val="19E26B69"/>
    <w:rsid w:val="19EA6BAE"/>
    <w:rsid w:val="19FF2782"/>
    <w:rsid w:val="1B0D39DF"/>
    <w:rsid w:val="1B581F69"/>
    <w:rsid w:val="1B873B39"/>
    <w:rsid w:val="1BC86F3E"/>
    <w:rsid w:val="1BF31B8E"/>
    <w:rsid w:val="1CA222B2"/>
    <w:rsid w:val="1CA41DF6"/>
    <w:rsid w:val="1CF70B01"/>
    <w:rsid w:val="1CFA3475"/>
    <w:rsid w:val="1D331922"/>
    <w:rsid w:val="1DDA333F"/>
    <w:rsid w:val="1E2775AB"/>
    <w:rsid w:val="1E611F29"/>
    <w:rsid w:val="1EB26218"/>
    <w:rsid w:val="1F510D7B"/>
    <w:rsid w:val="1F5E079B"/>
    <w:rsid w:val="1FAC3AFF"/>
    <w:rsid w:val="1FE62FE2"/>
    <w:rsid w:val="208C3D16"/>
    <w:rsid w:val="209B46C6"/>
    <w:rsid w:val="20D22409"/>
    <w:rsid w:val="21A04A77"/>
    <w:rsid w:val="21B875CA"/>
    <w:rsid w:val="220C2022"/>
    <w:rsid w:val="2286600C"/>
    <w:rsid w:val="23560518"/>
    <w:rsid w:val="23B07237"/>
    <w:rsid w:val="242258D5"/>
    <w:rsid w:val="24231158"/>
    <w:rsid w:val="2477265B"/>
    <w:rsid w:val="249C1C5B"/>
    <w:rsid w:val="25E672AF"/>
    <w:rsid w:val="25FA71A7"/>
    <w:rsid w:val="28FA378C"/>
    <w:rsid w:val="293527CC"/>
    <w:rsid w:val="29B17D5C"/>
    <w:rsid w:val="29D96DE6"/>
    <w:rsid w:val="2A017181"/>
    <w:rsid w:val="2A096906"/>
    <w:rsid w:val="2A852E16"/>
    <w:rsid w:val="2ABC2F45"/>
    <w:rsid w:val="2B935F8B"/>
    <w:rsid w:val="2C7D36A6"/>
    <w:rsid w:val="2D275BA3"/>
    <w:rsid w:val="2D2937A4"/>
    <w:rsid w:val="2DA12880"/>
    <w:rsid w:val="2E3F5130"/>
    <w:rsid w:val="2EA436B8"/>
    <w:rsid w:val="2F435E75"/>
    <w:rsid w:val="2F4D4B27"/>
    <w:rsid w:val="316C4699"/>
    <w:rsid w:val="31D5300E"/>
    <w:rsid w:val="32452C35"/>
    <w:rsid w:val="32852BB9"/>
    <w:rsid w:val="335812CC"/>
    <w:rsid w:val="33625746"/>
    <w:rsid w:val="344C1AB1"/>
    <w:rsid w:val="34842458"/>
    <w:rsid w:val="34871B7C"/>
    <w:rsid w:val="348D1EBF"/>
    <w:rsid w:val="34AD46FA"/>
    <w:rsid w:val="34E311FA"/>
    <w:rsid w:val="34FF4619"/>
    <w:rsid w:val="355E7EBE"/>
    <w:rsid w:val="35D85D9C"/>
    <w:rsid w:val="35DF4D5A"/>
    <w:rsid w:val="36C97283"/>
    <w:rsid w:val="371057F5"/>
    <w:rsid w:val="3A947EA8"/>
    <w:rsid w:val="3A99673A"/>
    <w:rsid w:val="3AB626BB"/>
    <w:rsid w:val="3B2D3E6A"/>
    <w:rsid w:val="3B3720B6"/>
    <w:rsid w:val="3D240DAA"/>
    <w:rsid w:val="3D9117BD"/>
    <w:rsid w:val="3DD47F19"/>
    <w:rsid w:val="3E0317B2"/>
    <w:rsid w:val="3E0456CC"/>
    <w:rsid w:val="3E532077"/>
    <w:rsid w:val="3E5B3A27"/>
    <w:rsid w:val="3FA125F1"/>
    <w:rsid w:val="404C1A85"/>
    <w:rsid w:val="4067769B"/>
    <w:rsid w:val="40925111"/>
    <w:rsid w:val="40E56303"/>
    <w:rsid w:val="419926B2"/>
    <w:rsid w:val="41A86B47"/>
    <w:rsid w:val="41E12277"/>
    <w:rsid w:val="41E220B6"/>
    <w:rsid w:val="41F22847"/>
    <w:rsid w:val="4272131F"/>
    <w:rsid w:val="427B5BFE"/>
    <w:rsid w:val="432C2AE3"/>
    <w:rsid w:val="43B92166"/>
    <w:rsid w:val="441E3E76"/>
    <w:rsid w:val="444621DD"/>
    <w:rsid w:val="449B6469"/>
    <w:rsid w:val="483702F5"/>
    <w:rsid w:val="48632EE7"/>
    <w:rsid w:val="48C278A1"/>
    <w:rsid w:val="48DF3E68"/>
    <w:rsid w:val="496124C9"/>
    <w:rsid w:val="4981416D"/>
    <w:rsid w:val="49CC3F82"/>
    <w:rsid w:val="49F70D7E"/>
    <w:rsid w:val="4ACB2686"/>
    <w:rsid w:val="4C7732C7"/>
    <w:rsid w:val="4E3C4D46"/>
    <w:rsid w:val="4EDF5C92"/>
    <w:rsid w:val="4F8A4C6C"/>
    <w:rsid w:val="4F90367A"/>
    <w:rsid w:val="4FA659BA"/>
    <w:rsid w:val="4FB614A9"/>
    <w:rsid w:val="4FE60CEA"/>
    <w:rsid w:val="50062CBA"/>
    <w:rsid w:val="51347AD8"/>
    <w:rsid w:val="52064675"/>
    <w:rsid w:val="52704D12"/>
    <w:rsid w:val="529918CE"/>
    <w:rsid w:val="543D4952"/>
    <w:rsid w:val="547728AF"/>
    <w:rsid w:val="549A20E2"/>
    <w:rsid w:val="560739EF"/>
    <w:rsid w:val="56536940"/>
    <w:rsid w:val="568E39EC"/>
    <w:rsid w:val="569B70A9"/>
    <w:rsid w:val="56B21332"/>
    <w:rsid w:val="56CD7822"/>
    <w:rsid w:val="57116BC1"/>
    <w:rsid w:val="5744620D"/>
    <w:rsid w:val="57B1507D"/>
    <w:rsid w:val="580435EA"/>
    <w:rsid w:val="580E6663"/>
    <w:rsid w:val="590C47E4"/>
    <w:rsid w:val="59483156"/>
    <w:rsid w:val="59EB7D63"/>
    <w:rsid w:val="59F32604"/>
    <w:rsid w:val="5A3A5DD6"/>
    <w:rsid w:val="5AAC31E8"/>
    <w:rsid w:val="5AC92280"/>
    <w:rsid w:val="5B0D2F92"/>
    <w:rsid w:val="5BB77C14"/>
    <w:rsid w:val="5C376DA8"/>
    <w:rsid w:val="5CDC29AD"/>
    <w:rsid w:val="5D904821"/>
    <w:rsid w:val="5DF816FE"/>
    <w:rsid w:val="5E123B5A"/>
    <w:rsid w:val="5E511501"/>
    <w:rsid w:val="5EC02F59"/>
    <w:rsid w:val="5EFE064F"/>
    <w:rsid w:val="60CF13EE"/>
    <w:rsid w:val="60D61CA3"/>
    <w:rsid w:val="62084CF3"/>
    <w:rsid w:val="62AA085A"/>
    <w:rsid w:val="63C12800"/>
    <w:rsid w:val="646539F9"/>
    <w:rsid w:val="64761E51"/>
    <w:rsid w:val="64B746F7"/>
    <w:rsid w:val="657B3C25"/>
    <w:rsid w:val="65E359B8"/>
    <w:rsid w:val="65E868EF"/>
    <w:rsid w:val="666438E2"/>
    <w:rsid w:val="66C83DD1"/>
    <w:rsid w:val="66D078F0"/>
    <w:rsid w:val="679655FA"/>
    <w:rsid w:val="679B7F3E"/>
    <w:rsid w:val="67F82668"/>
    <w:rsid w:val="682928EE"/>
    <w:rsid w:val="68567F35"/>
    <w:rsid w:val="69067CBE"/>
    <w:rsid w:val="69234DCC"/>
    <w:rsid w:val="69A53FFA"/>
    <w:rsid w:val="69ED4D7E"/>
    <w:rsid w:val="6A0A1799"/>
    <w:rsid w:val="6B2E4316"/>
    <w:rsid w:val="6B43008B"/>
    <w:rsid w:val="6BE55234"/>
    <w:rsid w:val="6D301D33"/>
    <w:rsid w:val="6DD63CD1"/>
    <w:rsid w:val="6FFC4D49"/>
    <w:rsid w:val="704D029C"/>
    <w:rsid w:val="70ED1816"/>
    <w:rsid w:val="72431F7D"/>
    <w:rsid w:val="72713655"/>
    <w:rsid w:val="729B686F"/>
    <w:rsid w:val="72A10532"/>
    <w:rsid w:val="72BD34AA"/>
    <w:rsid w:val="731629DD"/>
    <w:rsid w:val="73703706"/>
    <w:rsid w:val="766671EE"/>
    <w:rsid w:val="767C72BC"/>
    <w:rsid w:val="771506CA"/>
    <w:rsid w:val="78A310D1"/>
    <w:rsid w:val="78AA2228"/>
    <w:rsid w:val="78B804CC"/>
    <w:rsid w:val="79042936"/>
    <w:rsid w:val="798F6669"/>
    <w:rsid w:val="799727D8"/>
    <w:rsid w:val="7A077BF9"/>
    <w:rsid w:val="7A79519C"/>
    <w:rsid w:val="7A855C29"/>
    <w:rsid w:val="7AAB55EF"/>
    <w:rsid w:val="7AD51A33"/>
    <w:rsid w:val="7ADD4010"/>
    <w:rsid w:val="7B311EAC"/>
    <w:rsid w:val="7BBA65DF"/>
    <w:rsid w:val="7C162A44"/>
    <w:rsid w:val="7C36041D"/>
    <w:rsid w:val="7C42596D"/>
    <w:rsid w:val="7CD1297B"/>
    <w:rsid w:val="7DCC400D"/>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1804</Words>
  <Characters>10287</Characters>
  <Lines>85</Lines>
  <Paragraphs>24</Paragraphs>
  <TotalTime>12</TotalTime>
  <ScaleCrop>false</ScaleCrop>
  <LinksUpToDate>false</LinksUpToDate>
  <CharactersWithSpaces>12067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2025-05-09T07:24:32Z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F61112A40FB1461AA46DAAB2A278F284</vt:lpwstr>
  </property>
</Properties>
</file>